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2EE" w:rsidRDefault="00D108BD" w:rsidP="000522EE">
      <w:pPr>
        <w:rPr>
          <w:rFonts w:asciiTheme="majorHAnsi" w:hAnsiTheme="majorHAnsi" w:cs="Arial"/>
          <w:b/>
          <w:sz w:val="22"/>
          <w:szCs w:val="22"/>
        </w:rPr>
      </w:pPr>
      <w:bookmarkStart w:id="0" w:name="_GoBack"/>
      <w:bookmarkEnd w:id="0"/>
      <w:r>
        <w:rPr>
          <w:rFonts w:asciiTheme="majorHAnsi" w:hAnsiTheme="majorHAnsi" w:cs="Arial"/>
          <w:b/>
          <w:sz w:val="22"/>
          <w:szCs w:val="22"/>
        </w:rPr>
        <w:t xml:space="preserve">Abstract Title </w:t>
      </w:r>
      <w:r w:rsidR="0047233A">
        <w:rPr>
          <w:rFonts w:asciiTheme="majorHAnsi" w:hAnsiTheme="majorHAnsi" w:cs="Arial"/>
          <w:b/>
          <w:sz w:val="22"/>
          <w:szCs w:val="22"/>
        </w:rPr>
        <w:t>(Calibri Light 11, Bold)</w:t>
      </w:r>
    </w:p>
    <w:p w:rsidR="000522EE" w:rsidRPr="0047233A" w:rsidRDefault="00D108BD" w:rsidP="000522EE">
      <w:pPr>
        <w:rPr>
          <w:rFonts w:asciiTheme="majorHAnsi" w:hAnsiTheme="majorHAnsi" w:cs="Arial"/>
          <w:i/>
          <w:sz w:val="22"/>
          <w:szCs w:val="22"/>
        </w:rPr>
      </w:pPr>
      <w:r>
        <w:rPr>
          <w:rFonts w:asciiTheme="majorHAnsi" w:hAnsiTheme="majorHAnsi" w:cs="Arial"/>
          <w:i/>
          <w:sz w:val="22"/>
          <w:szCs w:val="22"/>
        </w:rPr>
        <w:t>John B. Jones, PhD</w:t>
      </w:r>
      <w:r w:rsidRPr="00D108BD">
        <w:rPr>
          <w:rFonts w:asciiTheme="majorHAnsi" w:hAnsiTheme="majorHAnsi" w:cs="Arial"/>
          <w:i/>
          <w:sz w:val="22"/>
          <w:szCs w:val="22"/>
          <w:vertAlign w:val="superscript"/>
        </w:rPr>
        <w:t>1</w:t>
      </w:r>
      <w:r>
        <w:rPr>
          <w:rFonts w:asciiTheme="majorHAnsi" w:hAnsiTheme="majorHAnsi" w:cs="Arial"/>
          <w:i/>
          <w:sz w:val="22"/>
          <w:szCs w:val="22"/>
        </w:rPr>
        <w:t>, Judith Burns, MD</w:t>
      </w:r>
      <w:r w:rsidR="0047233A">
        <w:rPr>
          <w:rFonts w:asciiTheme="majorHAnsi" w:hAnsiTheme="majorHAnsi" w:cs="Arial"/>
          <w:i/>
          <w:sz w:val="22"/>
          <w:szCs w:val="22"/>
          <w:vertAlign w:val="superscript"/>
        </w:rPr>
        <w:t>2</w:t>
      </w:r>
      <w:r w:rsidR="0047233A">
        <w:rPr>
          <w:rFonts w:asciiTheme="majorHAnsi" w:hAnsiTheme="majorHAnsi" w:cs="Arial"/>
          <w:i/>
          <w:sz w:val="22"/>
          <w:szCs w:val="22"/>
        </w:rPr>
        <w:t>, Douglas J. Smith, MS</w:t>
      </w:r>
      <w:r w:rsidR="0047233A" w:rsidRPr="0047233A">
        <w:rPr>
          <w:rFonts w:asciiTheme="majorHAnsi" w:hAnsiTheme="majorHAnsi" w:cs="Arial"/>
          <w:i/>
          <w:sz w:val="22"/>
          <w:szCs w:val="22"/>
          <w:vertAlign w:val="superscript"/>
        </w:rPr>
        <w:t>1</w:t>
      </w:r>
      <w:r w:rsidR="0047233A">
        <w:rPr>
          <w:rFonts w:asciiTheme="majorHAnsi" w:hAnsiTheme="majorHAnsi" w:cs="Arial"/>
          <w:i/>
          <w:sz w:val="22"/>
          <w:szCs w:val="22"/>
        </w:rPr>
        <w:t>(Calibri Light- Italic 11) list all authors and credentials</w:t>
      </w:r>
    </w:p>
    <w:p w:rsidR="000522EE" w:rsidRPr="000522EE" w:rsidRDefault="00D108BD" w:rsidP="000522EE">
      <w:pPr>
        <w:rPr>
          <w:rFonts w:asciiTheme="majorHAnsi" w:hAnsiTheme="majorHAnsi" w:cs="Arial"/>
          <w:i/>
          <w:sz w:val="22"/>
          <w:szCs w:val="22"/>
        </w:rPr>
      </w:pPr>
      <w:r w:rsidRPr="00D108BD">
        <w:rPr>
          <w:rFonts w:asciiTheme="majorHAnsi" w:hAnsiTheme="majorHAnsi" w:cs="Arial"/>
          <w:i/>
          <w:sz w:val="22"/>
          <w:szCs w:val="22"/>
          <w:vertAlign w:val="superscript"/>
        </w:rPr>
        <w:t>1</w:t>
      </w:r>
      <w:r w:rsidR="000522EE" w:rsidRPr="000522EE">
        <w:rPr>
          <w:rFonts w:asciiTheme="majorHAnsi" w:hAnsiTheme="majorHAnsi" w:cs="Arial"/>
          <w:i/>
          <w:sz w:val="22"/>
          <w:szCs w:val="22"/>
        </w:rPr>
        <w:t>Indiana University</w:t>
      </w:r>
      <w:r>
        <w:rPr>
          <w:rFonts w:asciiTheme="majorHAnsi" w:hAnsiTheme="majorHAnsi" w:cs="Arial"/>
          <w:i/>
          <w:sz w:val="22"/>
          <w:szCs w:val="22"/>
        </w:rPr>
        <w:t xml:space="preserve">, Indianapolis, IN, </w:t>
      </w:r>
      <w:r w:rsidRPr="00D108BD">
        <w:rPr>
          <w:rFonts w:asciiTheme="majorHAnsi" w:hAnsiTheme="majorHAnsi" w:cs="Arial"/>
          <w:i/>
          <w:sz w:val="22"/>
          <w:szCs w:val="22"/>
          <w:vertAlign w:val="superscript"/>
        </w:rPr>
        <w:t>2</w:t>
      </w:r>
      <w:r>
        <w:rPr>
          <w:rFonts w:asciiTheme="majorHAnsi" w:hAnsiTheme="majorHAnsi" w:cs="Arial"/>
          <w:i/>
          <w:sz w:val="22"/>
          <w:szCs w:val="22"/>
        </w:rPr>
        <w:t>Mayo Clinic, Rochester, MN</w:t>
      </w:r>
      <w:r w:rsidR="0047233A">
        <w:rPr>
          <w:rFonts w:asciiTheme="majorHAnsi" w:hAnsiTheme="majorHAnsi" w:cs="Arial"/>
          <w:i/>
          <w:sz w:val="22"/>
          <w:szCs w:val="22"/>
        </w:rPr>
        <w:t xml:space="preserve"> (list all authors institution, city, state, country)</w:t>
      </w:r>
    </w:p>
    <w:p w:rsidR="000522EE" w:rsidRDefault="000522EE" w:rsidP="000522EE">
      <w:pPr>
        <w:jc w:val="center"/>
        <w:rPr>
          <w:rFonts w:ascii="Arial" w:hAnsi="Arial" w:cs="Arial"/>
          <w:b/>
        </w:rPr>
      </w:pPr>
    </w:p>
    <w:p w:rsidR="00DB65DE" w:rsidRDefault="00D108BD" w:rsidP="000522EE">
      <w:pPr>
        <w:tabs>
          <w:tab w:val="left" w:pos="360"/>
        </w:tabs>
        <w:jc w:val="both"/>
        <w:rPr>
          <w:rFonts w:asciiTheme="majorHAnsi" w:hAnsiTheme="majorHAnsi" w:cs="Arial"/>
          <w:sz w:val="22"/>
          <w:szCs w:val="22"/>
        </w:rPr>
      </w:pPr>
      <w:r>
        <w:rPr>
          <w:rFonts w:asciiTheme="majorHAnsi" w:hAnsiTheme="majorHAnsi" w:cs="Arial"/>
          <w:sz w:val="22"/>
          <w:szCs w:val="22"/>
        </w:rPr>
        <w:t xml:space="preserve">Abstract Body </w:t>
      </w:r>
      <w:r w:rsidR="0047233A">
        <w:rPr>
          <w:rFonts w:asciiTheme="majorHAnsi" w:hAnsiTheme="majorHAnsi" w:cs="Arial"/>
          <w:sz w:val="22"/>
          <w:szCs w:val="22"/>
        </w:rPr>
        <w:t>(Calibri Light 11)</w:t>
      </w:r>
    </w:p>
    <w:p w:rsidR="00DB65DE" w:rsidRPr="00DB65DE" w:rsidRDefault="00DB65DE" w:rsidP="000522EE">
      <w:pPr>
        <w:tabs>
          <w:tab w:val="left" w:pos="360"/>
        </w:tabs>
        <w:jc w:val="both"/>
        <w:rPr>
          <w:rFonts w:asciiTheme="majorHAnsi" w:hAnsiTheme="majorHAnsi" w:cs="Arial"/>
          <w:b/>
          <w:sz w:val="22"/>
          <w:szCs w:val="22"/>
        </w:rPr>
      </w:pPr>
    </w:p>
    <w:p w:rsidR="00CB5EE2" w:rsidRDefault="00CB5EE2">
      <w:pPr>
        <w:spacing w:after="160" w:line="259" w:lineRule="auto"/>
        <w:rPr>
          <w:rFonts w:asciiTheme="majorHAnsi" w:hAnsiTheme="majorHAnsi"/>
          <w:b/>
          <w:sz w:val="22"/>
          <w:szCs w:val="22"/>
        </w:rPr>
      </w:pPr>
      <w:r>
        <w:rPr>
          <w:rFonts w:asciiTheme="majorHAnsi" w:hAnsiTheme="majorHAnsi"/>
          <w:b/>
          <w:sz w:val="22"/>
          <w:szCs w:val="22"/>
        </w:rPr>
        <w:br w:type="page"/>
      </w:r>
    </w:p>
    <w:p w:rsidR="00DB65DE" w:rsidRPr="00DB65DE" w:rsidRDefault="00411BCE" w:rsidP="00DB65DE">
      <w:pPr>
        <w:rPr>
          <w:rFonts w:asciiTheme="majorHAnsi" w:hAnsiTheme="majorHAnsi"/>
          <w:b/>
          <w:sz w:val="22"/>
          <w:szCs w:val="22"/>
        </w:rPr>
      </w:pPr>
      <w:r>
        <w:rPr>
          <w:rFonts w:asciiTheme="majorHAnsi" w:hAnsiTheme="majorHAnsi"/>
          <w:b/>
          <w:sz w:val="22"/>
          <w:szCs w:val="22"/>
        </w:rPr>
        <w:lastRenderedPageBreak/>
        <w:t>Mechanical LINC between Nucleus and C</w:t>
      </w:r>
      <w:r w:rsidR="00DB65DE" w:rsidRPr="00DB65DE">
        <w:rPr>
          <w:rFonts w:asciiTheme="majorHAnsi" w:hAnsiTheme="majorHAnsi"/>
          <w:b/>
          <w:sz w:val="22"/>
          <w:szCs w:val="22"/>
        </w:rPr>
        <w:t xml:space="preserve">ytoskeleton </w:t>
      </w:r>
      <w:r>
        <w:rPr>
          <w:rFonts w:asciiTheme="majorHAnsi" w:hAnsiTheme="majorHAnsi"/>
          <w:b/>
          <w:sz w:val="22"/>
          <w:szCs w:val="22"/>
        </w:rPr>
        <w:t>Regulates βcatenin Nuclear A</w:t>
      </w:r>
      <w:r w:rsidR="00DB65DE" w:rsidRPr="00DB65DE">
        <w:rPr>
          <w:rFonts w:asciiTheme="majorHAnsi" w:hAnsiTheme="majorHAnsi"/>
          <w:b/>
          <w:sz w:val="22"/>
          <w:szCs w:val="22"/>
        </w:rPr>
        <w:t>ccess</w:t>
      </w:r>
    </w:p>
    <w:p w:rsidR="00DB65DE" w:rsidRDefault="00DB65DE" w:rsidP="00DB65DE">
      <w:pPr>
        <w:rPr>
          <w:rFonts w:asciiTheme="majorHAnsi" w:hAnsiTheme="majorHAnsi"/>
          <w:i/>
          <w:sz w:val="22"/>
          <w:szCs w:val="22"/>
        </w:rPr>
      </w:pPr>
      <w:r w:rsidRPr="00DB65DE">
        <w:rPr>
          <w:rFonts w:asciiTheme="majorHAnsi" w:hAnsiTheme="majorHAnsi"/>
          <w:i/>
          <w:sz w:val="22"/>
          <w:szCs w:val="22"/>
        </w:rPr>
        <w:t>G</w:t>
      </w:r>
      <w:r w:rsidR="00E928D7">
        <w:rPr>
          <w:rFonts w:asciiTheme="majorHAnsi" w:hAnsiTheme="majorHAnsi"/>
          <w:i/>
          <w:sz w:val="22"/>
          <w:szCs w:val="22"/>
        </w:rPr>
        <w:t xml:space="preserve">unes </w:t>
      </w:r>
      <w:r w:rsidRPr="00DB65DE">
        <w:rPr>
          <w:rFonts w:asciiTheme="majorHAnsi" w:hAnsiTheme="majorHAnsi"/>
          <w:i/>
          <w:sz w:val="22"/>
          <w:szCs w:val="22"/>
        </w:rPr>
        <w:t>Uzer,</w:t>
      </w:r>
      <w:r w:rsidR="00E928D7">
        <w:rPr>
          <w:rFonts w:asciiTheme="majorHAnsi" w:hAnsiTheme="majorHAnsi"/>
          <w:i/>
          <w:sz w:val="22"/>
          <w:szCs w:val="22"/>
        </w:rPr>
        <w:t xml:space="preserve"> PhD</w:t>
      </w:r>
      <w:r w:rsidRPr="00DB65DE">
        <w:rPr>
          <w:rFonts w:asciiTheme="majorHAnsi" w:hAnsiTheme="majorHAnsi"/>
          <w:i/>
          <w:sz w:val="22"/>
          <w:szCs w:val="22"/>
        </w:rPr>
        <w:t xml:space="preserve"> G</w:t>
      </w:r>
      <w:r w:rsidR="00E928D7">
        <w:rPr>
          <w:rFonts w:asciiTheme="majorHAnsi" w:hAnsiTheme="majorHAnsi"/>
          <w:i/>
          <w:sz w:val="22"/>
          <w:szCs w:val="22"/>
        </w:rPr>
        <w:t xml:space="preserve">uniz </w:t>
      </w:r>
      <w:r w:rsidRPr="00DB65DE">
        <w:rPr>
          <w:rFonts w:asciiTheme="majorHAnsi" w:hAnsiTheme="majorHAnsi"/>
          <w:i/>
          <w:sz w:val="22"/>
          <w:szCs w:val="22"/>
        </w:rPr>
        <w:t xml:space="preserve">Bas, </w:t>
      </w:r>
      <w:r w:rsidR="00E928D7">
        <w:rPr>
          <w:rFonts w:asciiTheme="majorHAnsi" w:hAnsiTheme="majorHAnsi"/>
          <w:i/>
          <w:sz w:val="22"/>
          <w:szCs w:val="22"/>
        </w:rPr>
        <w:t xml:space="preserve">BS, </w:t>
      </w:r>
      <w:r w:rsidRPr="00DB65DE">
        <w:rPr>
          <w:rFonts w:asciiTheme="majorHAnsi" w:hAnsiTheme="majorHAnsi"/>
          <w:i/>
          <w:sz w:val="22"/>
          <w:szCs w:val="22"/>
        </w:rPr>
        <w:t>B</w:t>
      </w:r>
      <w:r w:rsidR="00E928D7">
        <w:rPr>
          <w:rFonts w:asciiTheme="majorHAnsi" w:hAnsiTheme="majorHAnsi"/>
          <w:i/>
          <w:sz w:val="22"/>
          <w:szCs w:val="22"/>
        </w:rPr>
        <w:t xml:space="preserve">uer </w:t>
      </w:r>
      <w:r w:rsidRPr="00DB65DE">
        <w:rPr>
          <w:rFonts w:asciiTheme="majorHAnsi" w:hAnsiTheme="majorHAnsi"/>
          <w:i/>
          <w:sz w:val="22"/>
          <w:szCs w:val="22"/>
        </w:rPr>
        <w:t xml:space="preserve">Sen, </w:t>
      </w:r>
      <w:r w:rsidR="00E928D7">
        <w:rPr>
          <w:rFonts w:asciiTheme="majorHAnsi" w:hAnsiTheme="majorHAnsi"/>
          <w:i/>
          <w:sz w:val="22"/>
          <w:szCs w:val="22"/>
        </w:rPr>
        <w:t xml:space="preserve">MD, </w:t>
      </w:r>
      <w:r w:rsidRPr="00DB65DE">
        <w:rPr>
          <w:rFonts w:asciiTheme="majorHAnsi" w:hAnsiTheme="majorHAnsi"/>
          <w:i/>
          <w:sz w:val="22"/>
          <w:szCs w:val="22"/>
        </w:rPr>
        <w:t>J</w:t>
      </w:r>
      <w:r w:rsidR="00E928D7">
        <w:rPr>
          <w:rFonts w:asciiTheme="majorHAnsi" w:hAnsiTheme="majorHAnsi"/>
          <w:i/>
          <w:sz w:val="22"/>
          <w:szCs w:val="22"/>
        </w:rPr>
        <w:t xml:space="preserve">anet </w:t>
      </w:r>
      <w:r w:rsidRPr="00DB65DE">
        <w:rPr>
          <w:rFonts w:asciiTheme="majorHAnsi" w:hAnsiTheme="majorHAnsi"/>
          <w:i/>
          <w:sz w:val="22"/>
          <w:szCs w:val="22"/>
        </w:rPr>
        <w:t>Rubin</w:t>
      </w:r>
      <w:r w:rsidR="00EA0A9C">
        <w:rPr>
          <w:rFonts w:asciiTheme="majorHAnsi" w:hAnsiTheme="majorHAnsi"/>
          <w:i/>
          <w:sz w:val="22"/>
          <w:szCs w:val="22"/>
        </w:rPr>
        <w:t>, MD</w:t>
      </w:r>
    </w:p>
    <w:p w:rsidR="00DB65DE" w:rsidRDefault="00DB65DE" w:rsidP="00DB65DE">
      <w:pPr>
        <w:rPr>
          <w:rFonts w:asciiTheme="majorHAnsi" w:hAnsiTheme="majorHAnsi"/>
          <w:i/>
          <w:sz w:val="22"/>
          <w:szCs w:val="22"/>
        </w:rPr>
      </w:pPr>
      <w:r w:rsidRPr="00DB65DE">
        <w:rPr>
          <w:rFonts w:asciiTheme="majorHAnsi" w:hAnsiTheme="majorHAnsi"/>
          <w:i/>
          <w:sz w:val="22"/>
          <w:szCs w:val="22"/>
        </w:rPr>
        <w:t xml:space="preserve">University of North Carolina, </w:t>
      </w:r>
      <w:r w:rsidR="00E928D7">
        <w:rPr>
          <w:rFonts w:asciiTheme="majorHAnsi" w:hAnsiTheme="majorHAnsi"/>
          <w:i/>
          <w:sz w:val="22"/>
          <w:szCs w:val="22"/>
        </w:rPr>
        <w:t xml:space="preserve">Chapel Hill, NC, </w:t>
      </w:r>
      <w:r w:rsidRPr="00DB65DE">
        <w:rPr>
          <w:rFonts w:asciiTheme="majorHAnsi" w:hAnsiTheme="majorHAnsi"/>
          <w:i/>
          <w:sz w:val="22"/>
          <w:szCs w:val="22"/>
        </w:rPr>
        <w:t>USA</w:t>
      </w:r>
    </w:p>
    <w:p w:rsidR="00DB65DE" w:rsidRPr="00DB65DE" w:rsidRDefault="00DB65DE" w:rsidP="00DB65DE">
      <w:pPr>
        <w:rPr>
          <w:rFonts w:asciiTheme="majorHAnsi" w:hAnsiTheme="majorHAnsi"/>
          <w:i/>
          <w:sz w:val="22"/>
          <w:szCs w:val="22"/>
        </w:rPr>
      </w:pPr>
    </w:p>
    <w:p w:rsidR="00DB65DE" w:rsidRDefault="00DB65DE" w:rsidP="00DB65DE">
      <w:pPr>
        <w:rPr>
          <w:rFonts w:asciiTheme="majorHAnsi" w:hAnsiTheme="majorHAnsi"/>
          <w:sz w:val="22"/>
          <w:szCs w:val="22"/>
        </w:rPr>
      </w:pPr>
      <w:r w:rsidRPr="00DB65DE">
        <w:rPr>
          <w:rFonts w:asciiTheme="majorHAnsi" w:hAnsiTheme="majorHAnsi"/>
          <w:sz w:val="22"/>
          <w:szCs w:val="22"/>
        </w:rPr>
        <w:t>Mechanical signals generated during functional loading promote osteoblastogenesis at load bearing sites. βcatenin (βcat) signaling supports osteoblast and inhibits adipocyte recruitment from mesenchymal stem cells (MSC). βcat control of gene expression relies on non-classical nuclear shuttling involving βcat’s direct interaction with nuclear pore complexes (NPCs). MSC mechanosensitivity is in-part regulated at the nuclear surface via LINC complexes (Linker of Nucleoskeleton and Cytoskeleton) that integrate the nucleus into the cytoskeleton. As LINC directly binds cytoskeletal actin filaments, NPCs and βcat, it may also have a role in βcat nuclear delivery. Here we hypothesized that LINC complexes regulate nuclear βcat availability in response to mechanical challenge.</w:t>
      </w:r>
    </w:p>
    <w:p w:rsidR="001275E8" w:rsidRDefault="001275E8" w:rsidP="00DB65DE">
      <w:pPr>
        <w:rPr>
          <w:rFonts w:asciiTheme="majorHAnsi" w:hAnsiTheme="majorHAnsi"/>
          <w:sz w:val="22"/>
          <w:szCs w:val="22"/>
        </w:rPr>
      </w:pP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To understand the mechanically-induced interaction of βcat with the nuclear envelope, we applied high magnitude strain (HMS, 2%, 0.17Hz) or low intensity vibration (LIV, 0.7g, 90Hz) to murine MSCs and isolated NPC-rich nucleoskeletal (NSk) fractions to probe for βcat. On average, HMS and LIV increased the βcat-NSk association by 2-fold (p&lt;0.01). We next asked if LINC connectivity was critical for mechanically-induced βcat-NSk association: un-anchoring the βcat-binding element of LINC, Nesprin-2, via Sun1/2 deletion (SiSUN) decreased both basal NSk-bound βcat (50%, p&lt;.001) and mechanically induced βcat-NSk association (p&lt;0.001). Further, immunostaining showed that in LINC deficient MSCs where Nesprin-2 was displaced from nuclear envelope, βcat was less tightly localized to nucleus increasing its cytoplasmic staining (1.4-fold, p&lt;.001). This suggests that LINC positions βcat at the nuclear envelope, thus providing access to NPC for inward transfer. We tested this possibility by measuring fluorescence recovery of GFP-βcat in the nucleus to quantify the rate of βcat nuclear entry: LINC deficient MSCs showed a 51% recovery delay (p&lt;.01), indicating a LINC-dependence of βcat nuclear entry. We next considered if strengthening LINC-mediated connectivity would improve βcat-NSk association. Daily application of LIV x5d increased Nesprin-2 expression by 69% (p&lt;0.05), resulting in 49% increase in HMS-induced βcat-NSk association compared to non-LIV group.</w:t>
      </w:r>
    </w:p>
    <w:p w:rsidR="00DB65DE" w:rsidRDefault="00DB65DE" w:rsidP="00DB65DE">
      <w:pPr>
        <w:rPr>
          <w:rFonts w:asciiTheme="majorHAnsi" w:hAnsiTheme="majorHAnsi"/>
          <w:sz w:val="22"/>
          <w:szCs w:val="22"/>
        </w:rPr>
      </w:pPr>
      <w:r w:rsidRPr="00DB65DE">
        <w:rPr>
          <w:rFonts w:asciiTheme="majorHAnsi" w:hAnsiTheme="majorHAnsi"/>
          <w:sz w:val="22"/>
          <w:szCs w:val="22"/>
        </w:rPr>
        <w:t>In summary, our data indicates that LINC-mediated connectivity enables βcat nuclear transfer. As such, mechanically induced adaptations of LINC complexes may represent a novel avenue for increasing βcat signaling and improving MSC fate decisions.</w:t>
      </w:r>
    </w:p>
    <w:p w:rsidR="00DB65DE" w:rsidRDefault="00DB65DE" w:rsidP="00DB65DE">
      <w:pPr>
        <w:rPr>
          <w:rFonts w:asciiTheme="majorHAnsi" w:hAnsiTheme="majorHAnsi"/>
          <w:sz w:val="22"/>
          <w:szCs w:val="22"/>
        </w:rPr>
      </w:pPr>
    </w:p>
    <w:p w:rsidR="00DB65DE" w:rsidRPr="00DB65DE" w:rsidRDefault="00DB65DE" w:rsidP="00DB65DE">
      <w:pPr>
        <w:rPr>
          <w:rFonts w:asciiTheme="majorHAnsi" w:hAnsiTheme="majorHAnsi"/>
          <w:sz w:val="22"/>
          <w:szCs w:val="22"/>
        </w:rPr>
      </w:pPr>
      <w:r w:rsidRPr="00DB65DE">
        <w:rPr>
          <w:rFonts w:asciiTheme="majorHAnsi" w:hAnsiTheme="majorHAnsi"/>
          <w:noProof/>
          <w:sz w:val="22"/>
          <w:szCs w:val="22"/>
          <w:lang w:eastAsia="en-US"/>
        </w:rPr>
        <w:lastRenderedPageBreak/>
        <w:drawing>
          <wp:inline distT="0" distB="0" distL="0" distR="0">
            <wp:extent cx="5486400" cy="42901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290193"/>
                    </a:xfrm>
                    <a:prstGeom prst="rect">
                      <a:avLst/>
                    </a:prstGeom>
                    <a:noFill/>
                    <a:ln>
                      <a:noFill/>
                    </a:ln>
                  </pic:spPr>
                </pic:pic>
              </a:graphicData>
            </a:graphic>
          </wp:inline>
        </w:drawing>
      </w:r>
    </w:p>
    <w:p w:rsidR="003A1028" w:rsidRDefault="00DB65DE" w:rsidP="00DB65DE">
      <w:pPr>
        <w:rPr>
          <w:rFonts w:asciiTheme="majorHAnsi" w:hAnsiTheme="majorHAnsi"/>
          <w:sz w:val="22"/>
          <w:szCs w:val="22"/>
        </w:rPr>
      </w:pPr>
      <w:r w:rsidRPr="00DB65DE">
        <w:rPr>
          <w:rFonts w:asciiTheme="majorHAnsi" w:hAnsiTheme="majorHAnsi"/>
          <w:sz w:val="22"/>
          <w:szCs w:val="22"/>
        </w:rPr>
        <w:t>Figure1. a) Separating cell nucleus into soluble nuclear (Nuc) and insoluble nucleoskeletal (NSk) fractions revealed that the Lamin A/C nucleoskeleton and the LINC complex that integrate nucleus into the cell cytoskeleton is also associated with βcatenin. Disabling LINC function using siRNA against Nesprin anchoring protein Sun1/2 (siSUN) reduced nuclear βcatenin levels as well as NsK-βcatenin association. b) Consistent with decreased nuclear levels of βcatenin, siSUN treatment inhibited mechanically induced βcatenin-NSk association, suggesting a LINC-mediated βcatenin control at the nuclear envelope</w:t>
      </w:r>
      <w:r>
        <w:rPr>
          <w:rFonts w:asciiTheme="majorHAnsi" w:hAnsiTheme="majorHAnsi"/>
          <w:sz w:val="22"/>
          <w:szCs w:val="22"/>
        </w:rPr>
        <w:t>.</w:t>
      </w:r>
    </w:p>
    <w:p w:rsidR="00DB65DE" w:rsidRDefault="00DB65DE" w:rsidP="00DB65DE">
      <w:pPr>
        <w:rPr>
          <w:rFonts w:asciiTheme="majorHAnsi" w:hAnsiTheme="majorHAnsi"/>
          <w:sz w:val="22"/>
          <w:szCs w:val="22"/>
        </w:rPr>
      </w:pPr>
    </w:p>
    <w:p w:rsidR="00DB65DE" w:rsidRDefault="00DB65DE" w:rsidP="00DB65DE">
      <w:pPr>
        <w:rPr>
          <w:rFonts w:asciiTheme="majorHAnsi" w:hAnsiTheme="majorHAnsi"/>
          <w:sz w:val="22"/>
          <w:szCs w:val="22"/>
        </w:rPr>
      </w:pPr>
    </w:p>
    <w:p w:rsidR="00CB5EE2" w:rsidRDefault="00CB5EE2">
      <w:pPr>
        <w:spacing w:after="160" w:line="259" w:lineRule="auto"/>
        <w:rPr>
          <w:rFonts w:asciiTheme="majorHAnsi" w:hAnsiTheme="majorHAnsi"/>
          <w:b/>
          <w:bCs/>
          <w:sz w:val="22"/>
          <w:szCs w:val="22"/>
        </w:rPr>
      </w:pPr>
      <w:r>
        <w:rPr>
          <w:rFonts w:asciiTheme="majorHAnsi" w:hAnsiTheme="majorHAnsi"/>
          <w:b/>
          <w:bCs/>
          <w:sz w:val="22"/>
          <w:szCs w:val="22"/>
        </w:rPr>
        <w:br w:type="page"/>
      </w:r>
    </w:p>
    <w:p w:rsidR="00DB65DE" w:rsidRPr="00DB65DE" w:rsidRDefault="00DB65DE" w:rsidP="00DB65DE">
      <w:pPr>
        <w:rPr>
          <w:rFonts w:asciiTheme="majorHAnsi" w:hAnsiTheme="majorHAnsi"/>
          <w:b/>
          <w:bCs/>
          <w:sz w:val="22"/>
          <w:szCs w:val="22"/>
        </w:rPr>
      </w:pPr>
      <w:r w:rsidRPr="00DB65DE">
        <w:rPr>
          <w:rFonts w:asciiTheme="majorHAnsi" w:hAnsiTheme="majorHAnsi"/>
          <w:b/>
          <w:bCs/>
          <w:sz w:val="22"/>
          <w:szCs w:val="22"/>
        </w:rPr>
        <w:t xml:space="preserve">The Role of Rho-ROCK </w:t>
      </w:r>
      <w:r w:rsidR="001275E8" w:rsidRPr="00DB65DE">
        <w:rPr>
          <w:rFonts w:asciiTheme="majorHAnsi" w:hAnsiTheme="majorHAnsi"/>
          <w:b/>
          <w:bCs/>
          <w:sz w:val="22"/>
          <w:szCs w:val="22"/>
        </w:rPr>
        <w:t>Signaling</w:t>
      </w:r>
      <w:r w:rsidRPr="00DB65DE">
        <w:rPr>
          <w:rFonts w:asciiTheme="majorHAnsi" w:hAnsiTheme="majorHAnsi"/>
          <w:b/>
          <w:bCs/>
          <w:sz w:val="22"/>
          <w:szCs w:val="22"/>
        </w:rPr>
        <w:t xml:space="preserve"> in Normal and Estrogen Deficient</w:t>
      </w:r>
      <w:r w:rsidR="00A26F95">
        <w:rPr>
          <w:rFonts w:asciiTheme="majorHAnsi" w:hAnsiTheme="majorHAnsi"/>
          <w:b/>
          <w:bCs/>
          <w:sz w:val="22"/>
          <w:szCs w:val="22"/>
        </w:rPr>
        <w:t xml:space="preserve"> </w:t>
      </w:r>
      <w:r w:rsidRPr="00DB65DE">
        <w:rPr>
          <w:rFonts w:asciiTheme="majorHAnsi" w:hAnsiTheme="majorHAnsi"/>
          <w:b/>
          <w:bCs/>
          <w:sz w:val="22"/>
          <w:szCs w:val="22"/>
        </w:rPr>
        <w:t>Bone Cells in Response to Fluid Flow Induced Shear Stress</w:t>
      </w:r>
    </w:p>
    <w:p w:rsidR="00DB65DE" w:rsidRPr="00DB65DE" w:rsidRDefault="00DB65DE" w:rsidP="00DB65DE">
      <w:pPr>
        <w:rPr>
          <w:rFonts w:asciiTheme="majorHAnsi" w:hAnsiTheme="majorHAnsi"/>
          <w:i/>
          <w:iCs/>
          <w:sz w:val="22"/>
          <w:szCs w:val="22"/>
        </w:rPr>
      </w:pPr>
      <w:r w:rsidRPr="00DB65DE">
        <w:rPr>
          <w:rFonts w:asciiTheme="majorHAnsi" w:hAnsiTheme="majorHAnsi"/>
          <w:i/>
          <w:iCs/>
          <w:sz w:val="22"/>
          <w:szCs w:val="22"/>
        </w:rPr>
        <w:t>Irene Simfia,</w:t>
      </w:r>
      <w:r w:rsidR="00F36960">
        <w:rPr>
          <w:rFonts w:asciiTheme="majorHAnsi" w:hAnsiTheme="majorHAnsi"/>
          <w:i/>
          <w:iCs/>
          <w:sz w:val="22"/>
          <w:szCs w:val="22"/>
        </w:rPr>
        <w:t xml:space="preserve"> PhD, </w:t>
      </w:r>
      <w:r w:rsidRPr="00DB65DE">
        <w:rPr>
          <w:rFonts w:asciiTheme="majorHAnsi" w:hAnsiTheme="majorHAnsi"/>
          <w:i/>
          <w:iCs/>
          <w:sz w:val="22"/>
          <w:szCs w:val="22"/>
        </w:rPr>
        <w:t xml:space="preserve">Jessica Schiavi, </w:t>
      </w:r>
      <w:r w:rsidR="00F36960">
        <w:rPr>
          <w:rFonts w:asciiTheme="majorHAnsi" w:hAnsiTheme="majorHAnsi"/>
          <w:i/>
          <w:iCs/>
          <w:sz w:val="22"/>
          <w:szCs w:val="22"/>
        </w:rPr>
        <w:t xml:space="preserve">PhD, </w:t>
      </w:r>
      <w:r w:rsidRPr="00DB65DE">
        <w:rPr>
          <w:rFonts w:asciiTheme="majorHAnsi" w:hAnsiTheme="majorHAnsi"/>
          <w:i/>
          <w:iCs/>
          <w:sz w:val="22"/>
          <w:szCs w:val="22"/>
        </w:rPr>
        <w:t>Vishwa Deepak,</w:t>
      </w:r>
      <w:r w:rsidR="003675CF">
        <w:rPr>
          <w:rFonts w:asciiTheme="majorHAnsi" w:hAnsiTheme="majorHAnsi"/>
          <w:i/>
          <w:iCs/>
          <w:sz w:val="22"/>
          <w:szCs w:val="22"/>
        </w:rPr>
        <w:t xml:space="preserve"> PhD, </w:t>
      </w:r>
      <w:r w:rsidRPr="00DB65DE">
        <w:rPr>
          <w:rFonts w:asciiTheme="majorHAnsi" w:hAnsiTheme="majorHAnsi"/>
          <w:i/>
          <w:iCs/>
          <w:sz w:val="22"/>
          <w:szCs w:val="22"/>
        </w:rPr>
        <w:t>Laoise M. McNamara</w:t>
      </w:r>
      <w:r w:rsidR="00F36960">
        <w:rPr>
          <w:rFonts w:asciiTheme="majorHAnsi" w:hAnsiTheme="majorHAnsi"/>
          <w:i/>
          <w:iCs/>
          <w:sz w:val="22"/>
          <w:szCs w:val="22"/>
        </w:rPr>
        <w:t>, PhD</w:t>
      </w:r>
    </w:p>
    <w:p w:rsidR="00DB65DE" w:rsidRDefault="00DB65DE" w:rsidP="00DB65DE">
      <w:pPr>
        <w:rPr>
          <w:rFonts w:asciiTheme="majorHAnsi" w:hAnsiTheme="majorHAnsi"/>
          <w:i/>
          <w:iCs/>
          <w:sz w:val="22"/>
          <w:szCs w:val="22"/>
        </w:rPr>
      </w:pPr>
      <w:r w:rsidRPr="00DB65DE">
        <w:rPr>
          <w:rFonts w:asciiTheme="majorHAnsi" w:hAnsiTheme="majorHAnsi"/>
          <w:i/>
          <w:iCs/>
          <w:sz w:val="22"/>
          <w:szCs w:val="22"/>
        </w:rPr>
        <w:t>Mechanobiology and Medical Device Research Group, Department of Biomedical</w:t>
      </w:r>
      <w:r w:rsidR="00A26F95">
        <w:rPr>
          <w:rFonts w:asciiTheme="majorHAnsi" w:hAnsiTheme="majorHAnsi"/>
          <w:i/>
          <w:iCs/>
          <w:sz w:val="22"/>
          <w:szCs w:val="22"/>
        </w:rPr>
        <w:t xml:space="preserve"> </w:t>
      </w:r>
      <w:r w:rsidRPr="00DB65DE">
        <w:rPr>
          <w:rFonts w:asciiTheme="majorHAnsi" w:hAnsiTheme="majorHAnsi"/>
          <w:i/>
          <w:iCs/>
          <w:sz w:val="22"/>
          <w:szCs w:val="22"/>
        </w:rPr>
        <w:t>Engineering, National University of Ireland Galway, Ireland</w:t>
      </w:r>
    </w:p>
    <w:p w:rsidR="00A26F95" w:rsidRPr="00DB65DE" w:rsidRDefault="00A26F95" w:rsidP="00DB65DE">
      <w:pPr>
        <w:rPr>
          <w:rFonts w:asciiTheme="majorHAnsi" w:hAnsiTheme="majorHAnsi"/>
          <w:i/>
          <w:iCs/>
          <w:sz w:val="22"/>
          <w:szCs w:val="22"/>
        </w:rPr>
      </w:pPr>
    </w:p>
    <w:p w:rsidR="00DB65DE" w:rsidRPr="00DB65DE" w:rsidRDefault="00DB65DE" w:rsidP="00DB65DE">
      <w:pPr>
        <w:rPr>
          <w:rFonts w:asciiTheme="majorHAnsi" w:hAnsiTheme="majorHAnsi"/>
          <w:b/>
          <w:bCs/>
          <w:sz w:val="22"/>
          <w:szCs w:val="22"/>
        </w:rPr>
      </w:pPr>
      <w:r w:rsidRPr="00DB65DE">
        <w:rPr>
          <w:rFonts w:asciiTheme="majorHAnsi" w:hAnsiTheme="majorHAnsi"/>
          <w:b/>
          <w:bCs/>
          <w:sz w:val="22"/>
          <w:szCs w:val="22"/>
        </w:rPr>
        <w:t>Introduction</w:t>
      </w:r>
    </w:p>
    <w:p w:rsidR="00DB65DE" w:rsidRDefault="00DB65DE" w:rsidP="00DB65DE">
      <w:pPr>
        <w:rPr>
          <w:rFonts w:asciiTheme="majorHAnsi" w:hAnsiTheme="majorHAnsi"/>
          <w:sz w:val="22"/>
          <w:szCs w:val="22"/>
        </w:rPr>
      </w:pPr>
      <w:r w:rsidRPr="00DB65DE">
        <w:rPr>
          <w:rFonts w:asciiTheme="majorHAnsi" w:hAnsiTheme="majorHAnsi"/>
          <w:sz w:val="22"/>
          <w:szCs w:val="22"/>
        </w:rPr>
        <w:t>Osteoporosis is most commonly manifested following menopause when estrogen production is</w:t>
      </w:r>
      <w:r w:rsidR="00563E12">
        <w:rPr>
          <w:rFonts w:asciiTheme="majorHAnsi" w:hAnsiTheme="majorHAnsi"/>
          <w:sz w:val="22"/>
          <w:szCs w:val="22"/>
        </w:rPr>
        <w:t xml:space="preserve"> </w:t>
      </w:r>
      <w:r w:rsidRPr="00DB65DE">
        <w:rPr>
          <w:rFonts w:asciiTheme="majorHAnsi" w:hAnsiTheme="majorHAnsi"/>
          <w:sz w:val="22"/>
          <w:szCs w:val="22"/>
        </w:rPr>
        <w:t>deficient. As a result, complex changes in bone composition occur leading to bone fractures. Estrogen</w:t>
      </w:r>
      <w:r w:rsidR="00A26F95">
        <w:rPr>
          <w:rFonts w:asciiTheme="majorHAnsi" w:hAnsiTheme="majorHAnsi"/>
          <w:sz w:val="22"/>
          <w:szCs w:val="22"/>
        </w:rPr>
        <w:t xml:space="preserve"> </w:t>
      </w:r>
      <w:r w:rsidRPr="00DB65DE">
        <w:rPr>
          <w:rFonts w:asciiTheme="majorHAnsi" w:hAnsiTheme="majorHAnsi"/>
          <w:sz w:val="22"/>
          <w:szCs w:val="22"/>
        </w:rPr>
        <w:t>plays an important role in the normal biology of bone cells, in particular in regulating their response</w:t>
      </w:r>
      <w:r w:rsidR="00A26F95">
        <w:rPr>
          <w:rFonts w:asciiTheme="majorHAnsi" w:hAnsiTheme="majorHAnsi"/>
          <w:sz w:val="22"/>
          <w:szCs w:val="22"/>
        </w:rPr>
        <w:t xml:space="preserve"> </w:t>
      </w:r>
      <w:r w:rsidRPr="00DB65DE">
        <w:rPr>
          <w:rFonts w:asciiTheme="majorHAnsi" w:hAnsiTheme="majorHAnsi"/>
          <w:sz w:val="22"/>
          <w:szCs w:val="22"/>
        </w:rPr>
        <w:t>to mechanical loading. Recent studies have found for the first time that complex tissue levels changes</w:t>
      </w:r>
      <w:r w:rsidR="00A26F95">
        <w:rPr>
          <w:rFonts w:asciiTheme="majorHAnsi" w:hAnsiTheme="majorHAnsi"/>
          <w:sz w:val="22"/>
          <w:szCs w:val="22"/>
        </w:rPr>
        <w:t xml:space="preserve"> </w:t>
      </w:r>
      <w:r w:rsidRPr="00DB65DE">
        <w:rPr>
          <w:rFonts w:asciiTheme="majorHAnsi" w:hAnsiTheme="majorHAnsi"/>
          <w:sz w:val="22"/>
          <w:szCs w:val="22"/>
        </w:rPr>
        <w:t>in bone composition during estrogen deficiency might be explained by alterations in bone cell</w:t>
      </w:r>
      <w:r w:rsidR="00A26F95">
        <w:rPr>
          <w:rFonts w:asciiTheme="majorHAnsi" w:hAnsiTheme="majorHAnsi"/>
          <w:sz w:val="22"/>
          <w:szCs w:val="22"/>
        </w:rPr>
        <w:t xml:space="preserve"> </w:t>
      </w:r>
      <w:r w:rsidRPr="00DB65DE">
        <w:rPr>
          <w:rFonts w:asciiTheme="majorHAnsi" w:hAnsiTheme="majorHAnsi"/>
          <w:sz w:val="22"/>
          <w:szCs w:val="22"/>
        </w:rPr>
        <w:t>biology, in particular the mechanobiological responses[1-3]. Drug treatments that target the</w:t>
      </w:r>
      <w:r w:rsidR="00A26F95">
        <w:rPr>
          <w:rFonts w:asciiTheme="majorHAnsi" w:hAnsiTheme="majorHAnsi"/>
          <w:sz w:val="22"/>
          <w:szCs w:val="22"/>
        </w:rPr>
        <w:t xml:space="preserve"> </w:t>
      </w:r>
      <w:r w:rsidRPr="00DB65DE">
        <w:rPr>
          <w:rFonts w:asciiTheme="majorHAnsi" w:hAnsiTheme="majorHAnsi"/>
          <w:sz w:val="22"/>
          <w:szCs w:val="22"/>
        </w:rPr>
        <w:t>Rho/ROCK proteins have gained inte</w:t>
      </w:r>
      <w:r w:rsidR="00563E12">
        <w:rPr>
          <w:rFonts w:asciiTheme="majorHAnsi" w:hAnsiTheme="majorHAnsi"/>
          <w:sz w:val="22"/>
          <w:szCs w:val="22"/>
        </w:rPr>
        <w:t>rest as therapeutic targets for c</w:t>
      </w:r>
      <w:r w:rsidRPr="00DB65DE">
        <w:rPr>
          <w:rFonts w:asciiTheme="majorHAnsi" w:hAnsiTheme="majorHAnsi"/>
          <w:sz w:val="22"/>
          <w:szCs w:val="22"/>
        </w:rPr>
        <w:t>ancer[4, 5]. A recent study</w:t>
      </w:r>
      <w:r w:rsidR="00A26F95">
        <w:rPr>
          <w:rFonts w:asciiTheme="majorHAnsi" w:hAnsiTheme="majorHAnsi"/>
          <w:sz w:val="22"/>
          <w:szCs w:val="22"/>
        </w:rPr>
        <w:t xml:space="preserve"> </w:t>
      </w:r>
      <w:r w:rsidRPr="00DB65DE">
        <w:rPr>
          <w:rFonts w:asciiTheme="majorHAnsi" w:hAnsiTheme="majorHAnsi"/>
          <w:sz w:val="22"/>
          <w:szCs w:val="22"/>
        </w:rPr>
        <w:t>suggests that the mechanosensitivity of osteoblasts to continuous loading is regulated by activation of</w:t>
      </w:r>
      <w:r w:rsidR="00A26F95">
        <w:rPr>
          <w:rFonts w:asciiTheme="majorHAnsi" w:hAnsiTheme="majorHAnsi"/>
          <w:sz w:val="22"/>
          <w:szCs w:val="22"/>
        </w:rPr>
        <w:t xml:space="preserve"> </w:t>
      </w:r>
      <w:r w:rsidRPr="00DB65DE">
        <w:rPr>
          <w:rFonts w:asciiTheme="majorHAnsi" w:hAnsiTheme="majorHAnsi"/>
          <w:sz w:val="22"/>
          <w:szCs w:val="22"/>
        </w:rPr>
        <w:t>P2Y2R mediated Rho-ROCK signalling required for actin stress fiber formation, increasing the</w:t>
      </w:r>
      <w:r w:rsidR="00A26F95">
        <w:rPr>
          <w:rFonts w:asciiTheme="majorHAnsi" w:hAnsiTheme="majorHAnsi"/>
          <w:sz w:val="22"/>
          <w:szCs w:val="22"/>
        </w:rPr>
        <w:t xml:space="preserve"> </w:t>
      </w:r>
      <w:r w:rsidRPr="00DB65DE">
        <w:rPr>
          <w:rFonts w:asciiTheme="majorHAnsi" w:hAnsiTheme="majorHAnsi"/>
          <w:sz w:val="22"/>
          <w:szCs w:val="22"/>
        </w:rPr>
        <w:t>mechanical stiffness of the cell [6]. However, the mechanism and role of Rho-ROCK signalling in</w:t>
      </w:r>
      <w:r w:rsidR="00A26F95">
        <w:rPr>
          <w:rFonts w:asciiTheme="majorHAnsi" w:hAnsiTheme="majorHAnsi"/>
          <w:sz w:val="22"/>
          <w:szCs w:val="22"/>
        </w:rPr>
        <w:t xml:space="preserve"> </w:t>
      </w:r>
      <w:r w:rsidRPr="00DB65DE">
        <w:rPr>
          <w:rFonts w:asciiTheme="majorHAnsi" w:hAnsiTheme="majorHAnsi"/>
          <w:sz w:val="22"/>
          <w:szCs w:val="22"/>
        </w:rPr>
        <w:t>osteogenesis of mechanically stimulated osteoblasts remains unknown. This can be a useful insight</w:t>
      </w:r>
      <w:r w:rsidR="00A26F95">
        <w:rPr>
          <w:rFonts w:asciiTheme="majorHAnsi" w:hAnsiTheme="majorHAnsi"/>
          <w:sz w:val="22"/>
          <w:szCs w:val="22"/>
        </w:rPr>
        <w:t xml:space="preserve"> </w:t>
      </w:r>
      <w:r w:rsidRPr="00DB65DE">
        <w:rPr>
          <w:rFonts w:asciiTheme="majorHAnsi" w:hAnsiTheme="majorHAnsi"/>
          <w:sz w:val="22"/>
          <w:szCs w:val="22"/>
        </w:rPr>
        <w:t>into exploring the mechanisms involved in diseases like osteoporosis where bone formation by</w:t>
      </w:r>
      <w:r w:rsidR="00A26F95">
        <w:rPr>
          <w:rFonts w:asciiTheme="majorHAnsi" w:hAnsiTheme="majorHAnsi"/>
          <w:sz w:val="22"/>
          <w:szCs w:val="22"/>
        </w:rPr>
        <w:t xml:space="preserve"> </w:t>
      </w:r>
      <w:r w:rsidRPr="00DB65DE">
        <w:rPr>
          <w:rFonts w:asciiTheme="majorHAnsi" w:hAnsiTheme="majorHAnsi"/>
          <w:sz w:val="22"/>
          <w:szCs w:val="22"/>
        </w:rPr>
        <w:t xml:space="preserve">mechanically stimulated bone cells is adversely </w:t>
      </w:r>
      <w:r w:rsidR="00563E12">
        <w:rPr>
          <w:rFonts w:asciiTheme="majorHAnsi" w:hAnsiTheme="majorHAnsi"/>
          <w:sz w:val="22"/>
          <w:szCs w:val="22"/>
        </w:rPr>
        <w:t>a</w:t>
      </w:r>
      <w:r w:rsidRPr="00DB65DE">
        <w:rPr>
          <w:rFonts w:asciiTheme="majorHAnsi" w:hAnsiTheme="majorHAnsi"/>
          <w:sz w:val="22"/>
          <w:szCs w:val="22"/>
        </w:rPr>
        <w:t>ffected[7].</w:t>
      </w:r>
      <w:r w:rsidR="00A26F95">
        <w:rPr>
          <w:rFonts w:asciiTheme="majorHAnsi" w:hAnsiTheme="majorHAnsi"/>
          <w:sz w:val="22"/>
          <w:szCs w:val="22"/>
        </w:rPr>
        <w:t xml:space="preserve"> </w:t>
      </w:r>
    </w:p>
    <w:p w:rsidR="001275E8" w:rsidRPr="00DB65DE" w:rsidRDefault="001275E8" w:rsidP="00DB65DE">
      <w:pPr>
        <w:rPr>
          <w:rFonts w:asciiTheme="majorHAnsi" w:hAnsiTheme="majorHAnsi"/>
          <w:sz w:val="22"/>
          <w:szCs w:val="22"/>
        </w:rPr>
      </w:pP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 xml:space="preserve">Specifically we seek to target the Rho/ROCK signalling pathway in estrogen deficient bone cells </w:t>
      </w:r>
      <w:r w:rsidRPr="00DB65DE">
        <w:rPr>
          <w:rFonts w:asciiTheme="majorHAnsi" w:hAnsiTheme="majorHAnsi"/>
          <w:i/>
          <w:iCs/>
          <w:sz w:val="22"/>
          <w:szCs w:val="22"/>
        </w:rPr>
        <w:t>in</w:t>
      </w:r>
      <w:r w:rsidR="00563E12">
        <w:rPr>
          <w:rFonts w:asciiTheme="majorHAnsi" w:hAnsiTheme="majorHAnsi"/>
          <w:i/>
          <w:iCs/>
          <w:sz w:val="22"/>
          <w:szCs w:val="22"/>
        </w:rPr>
        <w:t xml:space="preserve"> </w:t>
      </w:r>
      <w:r w:rsidRPr="00DB65DE">
        <w:rPr>
          <w:rFonts w:asciiTheme="majorHAnsi" w:hAnsiTheme="majorHAnsi"/>
          <w:i/>
          <w:iCs/>
          <w:sz w:val="22"/>
          <w:szCs w:val="22"/>
        </w:rPr>
        <w:t xml:space="preserve">vitro </w:t>
      </w:r>
      <w:r w:rsidRPr="00DB65DE">
        <w:rPr>
          <w:rFonts w:asciiTheme="majorHAnsi" w:hAnsiTheme="majorHAnsi"/>
          <w:sz w:val="22"/>
          <w:szCs w:val="22"/>
        </w:rPr>
        <w:t>to establish changes in cell differentiation, gene expression and actin cytoskeleton when these</w:t>
      </w:r>
      <w:r w:rsidR="00A26F95">
        <w:rPr>
          <w:rFonts w:asciiTheme="majorHAnsi" w:hAnsiTheme="majorHAnsi"/>
          <w:sz w:val="22"/>
          <w:szCs w:val="22"/>
        </w:rPr>
        <w:t xml:space="preserve"> </w:t>
      </w:r>
      <w:r w:rsidRPr="00DB65DE">
        <w:rPr>
          <w:rFonts w:asciiTheme="majorHAnsi" w:hAnsiTheme="majorHAnsi"/>
          <w:sz w:val="22"/>
          <w:szCs w:val="22"/>
        </w:rPr>
        <w:t>cells are mechanically stimulated. We first, established the effect of ROCK inhibition on</w:t>
      </w:r>
    </w:p>
    <w:p w:rsidR="00DB65DE" w:rsidRDefault="00DB65DE" w:rsidP="00DB65DE">
      <w:pPr>
        <w:rPr>
          <w:rFonts w:asciiTheme="majorHAnsi" w:hAnsiTheme="majorHAnsi"/>
          <w:sz w:val="22"/>
          <w:szCs w:val="22"/>
        </w:rPr>
      </w:pPr>
      <w:r w:rsidRPr="00DB65DE">
        <w:rPr>
          <w:rFonts w:asciiTheme="majorHAnsi" w:hAnsiTheme="majorHAnsi"/>
          <w:sz w:val="22"/>
          <w:szCs w:val="22"/>
        </w:rPr>
        <w:t>PGE2synthesis by osteoblasts. We show, for the first time, that ROCK inhibition in osteoblasts</w:t>
      </w:r>
      <w:r w:rsidR="00563E12">
        <w:rPr>
          <w:rFonts w:asciiTheme="majorHAnsi" w:hAnsiTheme="majorHAnsi"/>
          <w:sz w:val="22"/>
          <w:szCs w:val="22"/>
        </w:rPr>
        <w:t xml:space="preserve"> </w:t>
      </w:r>
      <w:r w:rsidRPr="00DB65DE">
        <w:rPr>
          <w:rFonts w:asciiTheme="majorHAnsi" w:hAnsiTheme="majorHAnsi"/>
          <w:sz w:val="22"/>
          <w:szCs w:val="22"/>
        </w:rPr>
        <w:t>reverts the effects of fluid flow induced shear stress in terms of reduction in PGE2synthesis. We also</w:t>
      </w:r>
      <w:r w:rsidR="00A26F95">
        <w:rPr>
          <w:rFonts w:asciiTheme="majorHAnsi" w:hAnsiTheme="majorHAnsi"/>
          <w:sz w:val="22"/>
          <w:szCs w:val="22"/>
        </w:rPr>
        <w:t xml:space="preserve"> </w:t>
      </w:r>
      <w:r w:rsidRPr="00DB65DE">
        <w:rPr>
          <w:rFonts w:asciiTheme="majorHAnsi" w:hAnsiTheme="majorHAnsi"/>
          <w:sz w:val="22"/>
          <w:szCs w:val="22"/>
        </w:rPr>
        <w:t>affirm with previous study [6] that ROCK inhibition of osteoblasts leads to disruption of actin</w:t>
      </w:r>
      <w:r w:rsidR="00563E12">
        <w:rPr>
          <w:rFonts w:asciiTheme="majorHAnsi" w:hAnsiTheme="majorHAnsi"/>
          <w:sz w:val="22"/>
          <w:szCs w:val="22"/>
        </w:rPr>
        <w:t xml:space="preserve"> </w:t>
      </w:r>
      <w:r w:rsidRPr="00DB65DE">
        <w:rPr>
          <w:rFonts w:asciiTheme="majorHAnsi" w:hAnsiTheme="majorHAnsi"/>
          <w:sz w:val="22"/>
          <w:szCs w:val="22"/>
        </w:rPr>
        <w:t>cytoskeleton. All of these results will be further compared with estrogen deficient cells under similar</w:t>
      </w:r>
      <w:r w:rsidR="00A26F95">
        <w:rPr>
          <w:rFonts w:asciiTheme="majorHAnsi" w:hAnsiTheme="majorHAnsi"/>
          <w:sz w:val="22"/>
          <w:szCs w:val="22"/>
        </w:rPr>
        <w:t xml:space="preserve"> </w:t>
      </w:r>
      <w:r w:rsidRPr="00DB65DE">
        <w:rPr>
          <w:rFonts w:asciiTheme="majorHAnsi" w:hAnsiTheme="majorHAnsi"/>
          <w:sz w:val="22"/>
          <w:szCs w:val="22"/>
        </w:rPr>
        <w:t>conditions as it is fundamental to this study.</w:t>
      </w:r>
    </w:p>
    <w:p w:rsidR="001275E8" w:rsidRPr="00DB65DE" w:rsidRDefault="001275E8" w:rsidP="00DB65DE">
      <w:pPr>
        <w:rPr>
          <w:rFonts w:asciiTheme="majorHAnsi" w:hAnsiTheme="majorHAnsi"/>
          <w:sz w:val="22"/>
          <w:szCs w:val="22"/>
        </w:rPr>
      </w:pPr>
    </w:p>
    <w:p w:rsidR="00DB65DE" w:rsidRPr="00DB65DE" w:rsidRDefault="00DB65DE" w:rsidP="00DB65DE">
      <w:pPr>
        <w:rPr>
          <w:rFonts w:asciiTheme="majorHAnsi" w:hAnsiTheme="majorHAnsi"/>
          <w:b/>
          <w:bCs/>
          <w:sz w:val="22"/>
          <w:szCs w:val="22"/>
        </w:rPr>
      </w:pPr>
      <w:r w:rsidRPr="00DB65DE">
        <w:rPr>
          <w:rFonts w:asciiTheme="majorHAnsi" w:hAnsiTheme="majorHAnsi"/>
          <w:b/>
          <w:bCs/>
          <w:sz w:val="22"/>
          <w:szCs w:val="22"/>
        </w:rPr>
        <w:t>Materials and Methods</w:t>
      </w:r>
    </w:p>
    <w:p w:rsidR="00DB65DE" w:rsidRPr="00DB65DE" w:rsidRDefault="00DB65DE" w:rsidP="00DB65DE">
      <w:pPr>
        <w:rPr>
          <w:rFonts w:asciiTheme="majorHAnsi" w:hAnsiTheme="majorHAnsi"/>
          <w:b/>
          <w:bCs/>
          <w:sz w:val="22"/>
          <w:szCs w:val="22"/>
        </w:rPr>
      </w:pPr>
      <w:r w:rsidRPr="00DB65DE">
        <w:rPr>
          <w:rFonts w:asciiTheme="majorHAnsi" w:hAnsiTheme="majorHAnsi"/>
          <w:b/>
          <w:bCs/>
          <w:sz w:val="22"/>
          <w:szCs w:val="22"/>
        </w:rPr>
        <w:t>Cell Culture</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Viability experiments: MC3T3-E1 osteoblast-like cells were seeded at 10,000 cells per well on 13mm</w:t>
      </w:r>
      <w:r w:rsidR="00A26F95">
        <w:rPr>
          <w:rFonts w:asciiTheme="majorHAnsi" w:hAnsiTheme="majorHAnsi"/>
          <w:sz w:val="22"/>
          <w:szCs w:val="22"/>
        </w:rPr>
        <w:t xml:space="preserve"> </w:t>
      </w:r>
      <w:r w:rsidRPr="00DB65DE">
        <w:rPr>
          <w:rFonts w:asciiTheme="majorHAnsi" w:hAnsiTheme="majorHAnsi"/>
          <w:sz w:val="22"/>
          <w:szCs w:val="22"/>
        </w:rPr>
        <w:t xml:space="preserve">coverslips and cultured in vitro for 24hours in </w:t>
      </w:r>
      <w:r w:rsidRPr="00DB65DE">
        <w:rPr>
          <w:rFonts w:asciiTheme="majorHAnsi" w:hAnsiTheme="majorHAnsi"/>
          <w:sz w:val="22"/>
          <w:szCs w:val="22"/>
        </w:rPr>
        <w:t>-Minimum Essential Medium Eagle (MEM)</w:t>
      </w:r>
      <w:r w:rsidR="00563E12">
        <w:rPr>
          <w:rFonts w:asciiTheme="majorHAnsi" w:hAnsiTheme="majorHAnsi"/>
          <w:sz w:val="22"/>
          <w:szCs w:val="22"/>
        </w:rPr>
        <w:t xml:space="preserve"> </w:t>
      </w:r>
      <w:r w:rsidRPr="00DB65DE">
        <w:rPr>
          <w:rFonts w:asciiTheme="majorHAnsi" w:hAnsiTheme="majorHAnsi"/>
          <w:sz w:val="22"/>
          <w:szCs w:val="22"/>
        </w:rPr>
        <w:t>supplemented with 10% Fetal Bovine Serum (Sigma Aldrich), 2mM L-glutamine (Sigma Aldrich),</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100U/ml Penicillin and 100ug/ml Streptomycin (Sigma Aldrich). Cells were then incubated with</w:t>
      </w:r>
      <w:r w:rsidR="00563E12">
        <w:rPr>
          <w:rFonts w:asciiTheme="majorHAnsi" w:hAnsiTheme="majorHAnsi"/>
          <w:sz w:val="22"/>
          <w:szCs w:val="22"/>
        </w:rPr>
        <w:t xml:space="preserve"> </w:t>
      </w:r>
      <w:r w:rsidRPr="00DB65DE">
        <w:rPr>
          <w:rFonts w:asciiTheme="majorHAnsi" w:hAnsiTheme="majorHAnsi"/>
          <w:sz w:val="22"/>
          <w:szCs w:val="22"/>
        </w:rPr>
        <w:t>media supplemented with or without Y-27632 (10μM; Sigma Aldrich) for 60 min. These cells were</w:t>
      </w:r>
      <w:r w:rsidR="00563E12">
        <w:rPr>
          <w:rFonts w:asciiTheme="majorHAnsi" w:hAnsiTheme="majorHAnsi"/>
          <w:sz w:val="22"/>
          <w:szCs w:val="22"/>
        </w:rPr>
        <w:t xml:space="preserve"> </w:t>
      </w:r>
      <w:r w:rsidRPr="00DB65DE">
        <w:rPr>
          <w:rFonts w:asciiTheme="majorHAnsi" w:hAnsiTheme="majorHAnsi"/>
          <w:sz w:val="22"/>
          <w:szCs w:val="22"/>
        </w:rPr>
        <w:t>then assessed for their viability by examining their ability to convert the Alamar Blue reagent,</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Resazurin into Resorufin and were also analysed for their DNA content.</w:t>
      </w:r>
    </w:p>
    <w:p w:rsidR="00DB65DE" w:rsidRDefault="00DB65DE" w:rsidP="00DB65DE">
      <w:pPr>
        <w:rPr>
          <w:rFonts w:asciiTheme="majorHAnsi" w:hAnsiTheme="majorHAnsi"/>
          <w:sz w:val="22"/>
          <w:szCs w:val="22"/>
        </w:rPr>
      </w:pPr>
      <w:r w:rsidRPr="00A26F95">
        <w:rPr>
          <w:rFonts w:asciiTheme="majorHAnsi" w:hAnsiTheme="majorHAnsi"/>
          <w:sz w:val="22"/>
          <w:szCs w:val="22"/>
        </w:rPr>
        <w:t>Flow study</w:t>
      </w:r>
      <w:r w:rsidRPr="00DB65DE">
        <w:rPr>
          <w:rFonts w:asciiTheme="majorHAnsi" w:hAnsiTheme="majorHAnsi"/>
          <w:sz w:val="22"/>
          <w:szCs w:val="22"/>
        </w:rPr>
        <w:t>: MC3T3-E1 cells were seeded at 200,000 cells per slide on 76mm x26mm glass slides and</w:t>
      </w:r>
      <w:r w:rsidR="00A26F95">
        <w:rPr>
          <w:rFonts w:asciiTheme="majorHAnsi" w:hAnsiTheme="majorHAnsi"/>
          <w:sz w:val="22"/>
          <w:szCs w:val="22"/>
        </w:rPr>
        <w:t xml:space="preserve"> </w:t>
      </w:r>
      <w:r w:rsidRPr="00DB65DE">
        <w:rPr>
          <w:rFonts w:asciiTheme="majorHAnsi" w:hAnsiTheme="majorHAnsi"/>
          <w:sz w:val="22"/>
          <w:szCs w:val="22"/>
        </w:rPr>
        <w:t>grown for 48 hours in standard media as described above. These cells were then treated with media</w:t>
      </w:r>
      <w:r w:rsidR="00A26F95">
        <w:rPr>
          <w:rFonts w:asciiTheme="majorHAnsi" w:hAnsiTheme="majorHAnsi"/>
          <w:sz w:val="22"/>
          <w:szCs w:val="22"/>
        </w:rPr>
        <w:t xml:space="preserve"> </w:t>
      </w:r>
      <w:r w:rsidRPr="00DB65DE">
        <w:rPr>
          <w:rFonts w:asciiTheme="majorHAnsi" w:hAnsiTheme="majorHAnsi"/>
          <w:sz w:val="22"/>
          <w:szCs w:val="22"/>
        </w:rPr>
        <w:t>supplemented with the ROCK inhibitor, Y-27632, at 10μM for 60 min. This concentration was chosen</w:t>
      </w:r>
      <w:r w:rsidR="00A26F95">
        <w:rPr>
          <w:rFonts w:asciiTheme="majorHAnsi" w:hAnsiTheme="majorHAnsi"/>
          <w:sz w:val="22"/>
          <w:szCs w:val="22"/>
        </w:rPr>
        <w:t xml:space="preserve"> </w:t>
      </w:r>
      <w:r w:rsidRPr="00DB65DE">
        <w:rPr>
          <w:rFonts w:asciiTheme="majorHAnsi" w:hAnsiTheme="majorHAnsi"/>
          <w:sz w:val="22"/>
          <w:szCs w:val="22"/>
        </w:rPr>
        <w:t>as it falls in the range of concentrations of Y-27632 (1-30μM) used for ROCK inhibition in in vitro</w:t>
      </w:r>
      <w:r w:rsidR="00A26F95">
        <w:rPr>
          <w:rFonts w:asciiTheme="majorHAnsi" w:hAnsiTheme="majorHAnsi"/>
          <w:sz w:val="22"/>
          <w:szCs w:val="22"/>
        </w:rPr>
        <w:t xml:space="preserve"> </w:t>
      </w:r>
      <w:r w:rsidRPr="00DB65DE">
        <w:rPr>
          <w:rFonts w:asciiTheme="majorHAnsi" w:hAnsiTheme="majorHAnsi"/>
          <w:sz w:val="22"/>
          <w:szCs w:val="22"/>
        </w:rPr>
        <w:t>experiments [6, 8-10], which significantly affect stress fibre density, focal adhesion density and focal</w:t>
      </w:r>
      <w:r w:rsidR="00A26F95">
        <w:rPr>
          <w:rFonts w:asciiTheme="majorHAnsi" w:hAnsiTheme="majorHAnsi"/>
          <w:sz w:val="22"/>
          <w:szCs w:val="22"/>
        </w:rPr>
        <w:t xml:space="preserve"> </w:t>
      </w:r>
      <w:r w:rsidRPr="00DB65DE">
        <w:rPr>
          <w:rFonts w:asciiTheme="majorHAnsi" w:hAnsiTheme="majorHAnsi"/>
          <w:sz w:val="22"/>
          <w:szCs w:val="22"/>
        </w:rPr>
        <w:t>adhesion area. After the Y-27632 treatment, cells were washed with Dulbecco’s Phosphate Buffered</w:t>
      </w:r>
      <w:r w:rsidR="00A26F95">
        <w:rPr>
          <w:rFonts w:asciiTheme="majorHAnsi" w:hAnsiTheme="majorHAnsi"/>
          <w:sz w:val="22"/>
          <w:szCs w:val="22"/>
        </w:rPr>
        <w:t xml:space="preserve"> </w:t>
      </w:r>
      <w:r w:rsidRPr="00DB65DE">
        <w:rPr>
          <w:rFonts w:asciiTheme="majorHAnsi" w:hAnsiTheme="majorHAnsi"/>
          <w:sz w:val="22"/>
          <w:szCs w:val="22"/>
        </w:rPr>
        <w:t>Saline (PBS). The control groups of cells did not receive treatment with Y-27632.</w:t>
      </w:r>
    </w:p>
    <w:p w:rsidR="001275E8" w:rsidRPr="00DB65DE" w:rsidRDefault="001275E8" w:rsidP="00DB65DE">
      <w:pPr>
        <w:rPr>
          <w:rFonts w:asciiTheme="majorHAnsi" w:hAnsiTheme="majorHAnsi"/>
          <w:sz w:val="22"/>
          <w:szCs w:val="22"/>
        </w:rPr>
      </w:pPr>
    </w:p>
    <w:p w:rsidR="00DB65DE" w:rsidRPr="00DB65DE" w:rsidRDefault="00DB65DE" w:rsidP="00DB65DE">
      <w:pPr>
        <w:rPr>
          <w:rFonts w:asciiTheme="majorHAnsi" w:hAnsiTheme="majorHAnsi"/>
          <w:b/>
          <w:bCs/>
          <w:sz w:val="22"/>
          <w:szCs w:val="22"/>
        </w:rPr>
      </w:pPr>
      <w:r w:rsidRPr="00DB65DE">
        <w:rPr>
          <w:rFonts w:asciiTheme="majorHAnsi" w:hAnsiTheme="majorHAnsi"/>
          <w:b/>
          <w:bCs/>
          <w:sz w:val="22"/>
          <w:szCs w:val="22"/>
        </w:rPr>
        <w:t>Fluid Flow</w:t>
      </w:r>
    </w:p>
    <w:p w:rsidR="00DB65DE" w:rsidRDefault="00DB65DE" w:rsidP="00DB65DE">
      <w:pPr>
        <w:rPr>
          <w:rFonts w:asciiTheme="majorHAnsi" w:hAnsiTheme="majorHAnsi"/>
          <w:sz w:val="22"/>
          <w:szCs w:val="22"/>
        </w:rPr>
      </w:pPr>
      <w:r w:rsidRPr="00DB65DE">
        <w:rPr>
          <w:rFonts w:asciiTheme="majorHAnsi" w:hAnsiTheme="majorHAnsi"/>
          <w:sz w:val="22"/>
          <w:szCs w:val="22"/>
        </w:rPr>
        <w:t>Laminar oscillatory fluid flow at a frequency of 0.5 Hz, peak flow rate of 9.2ml/min and peak shear</w:t>
      </w:r>
      <w:r w:rsidR="00A26F95">
        <w:rPr>
          <w:rFonts w:asciiTheme="majorHAnsi" w:hAnsiTheme="majorHAnsi"/>
          <w:sz w:val="22"/>
          <w:szCs w:val="22"/>
        </w:rPr>
        <w:t xml:space="preserve"> </w:t>
      </w:r>
      <w:r w:rsidRPr="00DB65DE">
        <w:rPr>
          <w:rFonts w:asciiTheme="majorHAnsi" w:hAnsiTheme="majorHAnsi"/>
          <w:sz w:val="22"/>
          <w:szCs w:val="22"/>
        </w:rPr>
        <w:t>stress of 1Pa was applied to both groups, Y-27632 and control, using custom designed parallel plate</w:t>
      </w:r>
      <w:r w:rsidR="00A26F95">
        <w:rPr>
          <w:rFonts w:asciiTheme="majorHAnsi" w:hAnsiTheme="majorHAnsi"/>
          <w:sz w:val="22"/>
          <w:szCs w:val="22"/>
        </w:rPr>
        <w:t xml:space="preserve"> </w:t>
      </w:r>
      <w:r w:rsidRPr="00DB65DE">
        <w:rPr>
          <w:rFonts w:asciiTheme="majorHAnsi" w:hAnsiTheme="majorHAnsi"/>
          <w:sz w:val="22"/>
          <w:szCs w:val="22"/>
        </w:rPr>
        <w:t>flow chambers, NE-1600 Syringe Pump (New Era Pump Systems) and 50 mL syringe (BD) following</w:t>
      </w:r>
      <w:r w:rsidR="00A26F95">
        <w:rPr>
          <w:rFonts w:asciiTheme="majorHAnsi" w:hAnsiTheme="majorHAnsi"/>
          <w:sz w:val="22"/>
          <w:szCs w:val="22"/>
        </w:rPr>
        <w:t xml:space="preserve"> </w:t>
      </w:r>
      <w:r w:rsidRPr="00DB65DE">
        <w:rPr>
          <w:rFonts w:asciiTheme="majorHAnsi" w:hAnsiTheme="majorHAnsi"/>
          <w:sz w:val="22"/>
          <w:szCs w:val="22"/>
        </w:rPr>
        <w:t>a previous study[11].</w:t>
      </w:r>
    </w:p>
    <w:p w:rsidR="001275E8" w:rsidRPr="00DB65DE" w:rsidRDefault="001275E8" w:rsidP="00DB65DE">
      <w:pPr>
        <w:rPr>
          <w:rFonts w:asciiTheme="majorHAnsi" w:hAnsiTheme="majorHAnsi"/>
          <w:sz w:val="22"/>
          <w:szCs w:val="22"/>
        </w:rPr>
      </w:pPr>
    </w:p>
    <w:p w:rsidR="00DB65DE" w:rsidRPr="00DB65DE" w:rsidRDefault="00DB65DE" w:rsidP="00DB65DE">
      <w:pPr>
        <w:rPr>
          <w:rFonts w:asciiTheme="majorHAnsi" w:hAnsiTheme="majorHAnsi"/>
          <w:b/>
          <w:bCs/>
          <w:sz w:val="22"/>
          <w:szCs w:val="22"/>
        </w:rPr>
      </w:pPr>
      <w:r w:rsidRPr="00DB65DE">
        <w:rPr>
          <w:rFonts w:asciiTheme="majorHAnsi" w:hAnsiTheme="majorHAnsi"/>
          <w:b/>
          <w:bCs/>
          <w:sz w:val="22"/>
          <w:szCs w:val="22"/>
        </w:rPr>
        <w:t>Alamar Blue Assay and DNA Hoechst Assay</w:t>
      </w:r>
    </w:p>
    <w:p w:rsidR="00DB65DE" w:rsidRDefault="00DB65DE" w:rsidP="00DB65DE">
      <w:pPr>
        <w:rPr>
          <w:rFonts w:asciiTheme="majorHAnsi" w:hAnsiTheme="majorHAnsi"/>
          <w:sz w:val="22"/>
          <w:szCs w:val="22"/>
        </w:rPr>
      </w:pPr>
      <w:r w:rsidRPr="00DB65DE">
        <w:rPr>
          <w:rFonts w:asciiTheme="majorHAnsi" w:hAnsiTheme="majorHAnsi"/>
          <w:sz w:val="22"/>
          <w:szCs w:val="22"/>
        </w:rPr>
        <w:t>To examine the viability of cells, they were incubated in 10% Alamar Blue reagent in PBS for 2hours</w:t>
      </w:r>
      <w:r w:rsidR="00A26F95">
        <w:rPr>
          <w:rFonts w:asciiTheme="majorHAnsi" w:hAnsiTheme="majorHAnsi"/>
          <w:sz w:val="22"/>
          <w:szCs w:val="22"/>
        </w:rPr>
        <w:t xml:space="preserve"> </w:t>
      </w:r>
      <w:r w:rsidRPr="00DB65DE">
        <w:rPr>
          <w:rFonts w:asciiTheme="majorHAnsi" w:hAnsiTheme="majorHAnsi"/>
          <w:sz w:val="22"/>
          <w:szCs w:val="22"/>
        </w:rPr>
        <w:t>at 37°C.Supernatant was collected and absorbance was measured at 570nm and 600nm. Cells were</w:t>
      </w:r>
      <w:r w:rsidR="00A26F95">
        <w:rPr>
          <w:rFonts w:asciiTheme="majorHAnsi" w:hAnsiTheme="majorHAnsi"/>
          <w:sz w:val="22"/>
          <w:szCs w:val="22"/>
        </w:rPr>
        <w:t xml:space="preserve"> </w:t>
      </w:r>
      <w:r w:rsidRPr="00DB65DE">
        <w:rPr>
          <w:rFonts w:asciiTheme="majorHAnsi" w:hAnsiTheme="majorHAnsi"/>
          <w:sz w:val="22"/>
          <w:szCs w:val="22"/>
        </w:rPr>
        <w:t>harvested following 3 freeze-thaw cycles in autoclaved deionized water. DNA content was quantified</w:t>
      </w:r>
      <w:r w:rsidR="00A26F95">
        <w:rPr>
          <w:rFonts w:asciiTheme="majorHAnsi" w:hAnsiTheme="majorHAnsi"/>
          <w:sz w:val="22"/>
          <w:szCs w:val="22"/>
        </w:rPr>
        <w:t xml:space="preserve"> </w:t>
      </w:r>
      <w:r w:rsidRPr="00DB65DE">
        <w:rPr>
          <w:rFonts w:asciiTheme="majorHAnsi" w:hAnsiTheme="majorHAnsi"/>
          <w:sz w:val="22"/>
          <w:szCs w:val="22"/>
        </w:rPr>
        <w:t>by mixing the cell lysate in Hoechst 33258 Solution (Sigma Aldrich) and fluorescence was measured</w:t>
      </w:r>
      <w:r w:rsidR="00A26F95">
        <w:rPr>
          <w:rFonts w:asciiTheme="majorHAnsi" w:hAnsiTheme="majorHAnsi"/>
          <w:sz w:val="22"/>
          <w:szCs w:val="22"/>
        </w:rPr>
        <w:t xml:space="preserve"> </w:t>
      </w:r>
      <w:r w:rsidRPr="00DB65DE">
        <w:rPr>
          <w:rFonts w:asciiTheme="majorHAnsi" w:hAnsiTheme="majorHAnsi"/>
          <w:sz w:val="22"/>
          <w:szCs w:val="22"/>
        </w:rPr>
        <w:t>for emission and excitation at 450nm and 365nm, respectively.</w:t>
      </w:r>
    </w:p>
    <w:p w:rsidR="001275E8" w:rsidRPr="00DB65DE" w:rsidRDefault="001275E8" w:rsidP="00DB65DE">
      <w:pPr>
        <w:rPr>
          <w:rFonts w:asciiTheme="majorHAnsi" w:hAnsiTheme="majorHAnsi"/>
          <w:sz w:val="22"/>
          <w:szCs w:val="22"/>
        </w:rPr>
      </w:pPr>
    </w:p>
    <w:p w:rsidR="00DB65DE" w:rsidRPr="00DB65DE" w:rsidRDefault="00DB65DE" w:rsidP="00DB65DE">
      <w:pPr>
        <w:rPr>
          <w:rFonts w:asciiTheme="majorHAnsi" w:hAnsiTheme="majorHAnsi"/>
          <w:b/>
          <w:bCs/>
          <w:sz w:val="22"/>
          <w:szCs w:val="22"/>
        </w:rPr>
      </w:pPr>
      <w:r w:rsidRPr="00DB65DE">
        <w:rPr>
          <w:rFonts w:asciiTheme="majorHAnsi" w:hAnsiTheme="majorHAnsi"/>
          <w:b/>
          <w:bCs/>
          <w:sz w:val="22"/>
          <w:szCs w:val="22"/>
        </w:rPr>
        <w:t>PGE2 Immunoassay</w:t>
      </w:r>
    </w:p>
    <w:p w:rsidR="00DB65DE" w:rsidRDefault="00DB65DE" w:rsidP="00DB65DE">
      <w:pPr>
        <w:rPr>
          <w:rFonts w:asciiTheme="majorHAnsi" w:hAnsiTheme="majorHAnsi"/>
          <w:sz w:val="22"/>
          <w:szCs w:val="22"/>
        </w:rPr>
      </w:pPr>
      <w:r w:rsidRPr="00DB65DE">
        <w:rPr>
          <w:rFonts w:asciiTheme="majorHAnsi" w:hAnsiTheme="majorHAnsi"/>
          <w:sz w:val="22"/>
          <w:szCs w:val="22"/>
        </w:rPr>
        <w:t>Mechanically stimulated (fluid flow applied) and static cells were allowed to synthesize PGE2 in 1ml</w:t>
      </w:r>
      <w:r w:rsidR="00A26F95">
        <w:rPr>
          <w:rFonts w:asciiTheme="majorHAnsi" w:hAnsiTheme="majorHAnsi"/>
          <w:sz w:val="22"/>
          <w:szCs w:val="22"/>
        </w:rPr>
        <w:t xml:space="preserve"> </w:t>
      </w:r>
      <w:r w:rsidRPr="00DB65DE">
        <w:rPr>
          <w:rFonts w:asciiTheme="majorHAnsi" w:hAnsiTheme="majorHAnsi"/>
          <w:sz w:val="22"/>
          <w:szCs w:val="22"/>
        </w:rPr>
        <w:t>of media under incubation at 37°C and 5%CO2 for 1hour. The supernatant was collected and assayed</w:t>
      </w:r>
      <w:r w:rsidR="00A26F95">
        <w:rPr>
          <w:rFonts w:asciiTheme="majorHAnsi" w:hAnsiTheme="majorHAnsi"/>
          <w:sz w:val="22"/>
          <w:szCs w:val="22"/>
        </w:rPr>
        <w:t xml:space="preserve"> </w:t>
      </w:r>
      <w:r w:rsidRPr="00DB65DE">
        <w:rPr>
          <w:rFonts w:asciiTheme="majorHAnsi" w:hAnsiTheme="majorHAnsi"/>
          <w:sz w:val="22"/>
          <w:szCs w:val="22"/>
        </w:rPr>
        <w:t>for PGE2 content using the Prostaglandin E2 ELISA Kit-Monoclonal. The PGE2</w:t>
      </w:r>
      <w:r w:rsidR="00A26F95">
        <w:rPr>
          <w:rFonts w:asciiTheme="majorHAnsi" w:hAnsiTheme="majorHAnsi"/>
          <w:sz w:val="22"/>
          <w:szCs w:val="22"/>
        </w:rPr>
        <w:t xml:space="preserve"> </w:t>
      </w:r>
      <w:r w:rsidRPr="00DB65DE">
        <w:rPr>
          <w:rFonts w:asciiTheme="majorHAnsi" w:hAnsiTheme="majorHAnsi"/>
          <w:sz w:val="22"/>
          <w:szCs w:val="22"/>
        </w:rPr>
        <w:t>content was normalized to the total DNA content. Cells were harvested and DNA was quantified as</w:t>
      </w:r>
      <w:r w:rsidR="00A26F95">
        <w:rPr>
          <w:rFonts w:asciiTheme="majorHAnsi" w:hAnsiTheme="majorHAnsi"/>
          <w:sz w:val="22"/>
          <w:szCs w:val="22"/>
        </w:rPr>
        <w:t xml:space="preserve"> </w:t>
      </w:r>
      <w:r w:rsidRPr="00DB65DE">
        <w:rPr>
          <w:rFonts w:asciiTheme="majorHAnsi" w:hAnsiTheme="majorHAnsi"/>
          <w:sz w:val="22"/>
          <w:szCs w:val="22"/>
        </w:rPr>
        <w:t>described above.</w:t>
      </w:r>
    </w:p>
    <w:p w:rsidR="001275E8" w:rsidRPr="00DB65DE" w:rsidRDefault="001275E8" w:rsidP="00DB65DE">
      <w:pPr>
        <w:rPr>
          <w:rFonts w:asciiTheme="majorHAnsi" w:hAnsiTheme="majorHAnsi"/>
          <w:sz w:val="22"/>
          <w:szCs w:val="22"/>
        </w:rPr>
      </w:pPr>
    </w:p>
    <w:p w:rsidR="00DB65DE" w:rsidRPr="00DB65DE" w:rsidRDefault="00DB65DE" w:rsidP="00DB65DE">
      <w:pPr>
        <w:rPr>
          <w:rFonts w:asciiTheme="majorHAnsi" w:hAnsiTheme="majorHAnsi"/>
          <w:b/>
          <w:bCs/>
          <w:sz w:val="22"/>
          <w:szCs w:val="22"/>
        </w:rPr>
      </w:pPr>
      <w:r w:rsidRPr="00DB65DE">
        <w:rPr>
          <w:rFonts w:asciiTheme="majorHAnsi" w:hAnsiTheme="majorHAnsi"/>
          <w:b/>
          <w:bCs/>
          <w:sz w:val="22"/>
          <w:szCs w:val="22"/>
        </w:rPr>
        <w:t>Immunofluorescent staining</w:t>
      </w:r>
    </w:p>
    <w:p w:rsidR="00DB65DE" w:rsidRDefault="00DB65DE" w:rsidP="00DB65DE">
      <w:pPr>
        <w:rPr>
          <w:rFonts w:asciiTheme="majorHAnsi" w:hAnsiTheme="majorHAnsi"/>
          <w:sz w:val="22"/>
          <w:szCs w:val="22"/>
        </w:rPr>
      </w:pPr>
      <w:r w:rsidRPr="00DB65DE">
        <w:rPr>
          <w:rFonts w:asciiTheme="majorHAnsi" w:hAnsiTheme="majorHAnsi"/>
          <w:sz w:val="22"/>
          <w:szCs w:val="22"/>
        </w:rPr>
        <w:t>Alterations in the cytoskeleton due to ROCK inhibition were analysed in loaded and static groups</w:t>
      </w:r>
      <w:r w:rsidR="00563E12">
        <w:rPr>
          <w:rFonts w:asciiTheme="majorHAnsi" w:hAnsiTheme="majorHAnsi"/>
          <w:sz w:val="22"/>
          <w:szCs w:val="22"/>
        </w:rPr>
        <w:t xml:space="preserve"> </w:t>
      </w:r>
      <w:r w:rsidRPr="00DB65DE">
        <w:rPr>
          <w:rFonts w:asciiTheme="majorHAnsi" w:hAnsiTheme="majorHAnsi"/>
          <w:sz w:val="22"/>
          <w:szCs w:val="22"/>
        </w:rPr>
        <w:t>using immunofluorescent staining to examine changes in actin stress fibres (phalloidintetramethylrhodamine</w:t>
      </w:r>
      <w:r w:rsidR="00A26F95">
        <w:rPr>
          <w:rFonts w:asciiTheme="majorHAnsi" w:hAnsiTheme="majorHAnsi"/>
          <w:sz w:val="22"/>
          <w:szCs w:val="22"/>
        </w:rPr>
        <w:t xml:space="preserve"> </w:t>
      </w:r>
      <w:r w:rsidRPr="00DB65DE">
        <w:rPr>
          <w:rFonts w:asciiTheme="majorHAnsi" w:hAnsiTheme="majorHAnsi"/>
          <w:sz w:val="22"/>
          <w:szCs w:val="22"/>
        </w:rPr>
        <w:t>Bisothiocyanate (TRITC) solution; Sigma-Aldrich; 1:1000) and nucleus</w:t>
      </w:r>
      <w:r w:rsidR="00A26F95">
        <w:rPr>
          <w:rFonts w:asciiTheme="majorHAnsi" w:hAnsiTheme="majorHAnsi"/>
          <w:sz w:val="22"/>
          <w:szCs w:val="22"/>
        </w:rPr>
        <w:t xml:space="preserve"> </w:t>
      </w:r>
      <w:r w:rsidRPr="00DB65DE">
        <w:rPr>
          <w:rFonts w:asciiTheme="majorHAnsi" w:hAnsiTheme="majorHAnsi"/>
          <w:sz w:val="22"/>
          <w:szCs w:val="22"/>
        </w:rPr>
        <w:t>(DAPI; Sigma Aldrich; 200ng/ml)</w:t>
      </w:r>
    </w:p>
    <w:p w:rsidR="001275E8" w:rsidRPr="00DB65DE" w:rsidRDefault="001275E8" w:rsidP="00DB65DE">
      <w:pPr>
        <w:rPr>
          <w:rFonts w:asciiTheme="majorHAnsi" w:hAnsiTheme="majorHAnsi"/>
          <w:sz w:val="22"/>
          <w:szCs w:val="22"/>
        </w:rPr>
      </w:pPr>
    </w:p>
    <w:p w:rsidR="00DB65DE" w:rsidRPr="00DB65DE" w:rsidRDefault="00DB65DE" w:rsidP="00DB65DE">
      <w:pPr>
        <w:rPr>
          <w:rFonts w:asciiTheme="majorHAnsi" w:hAnsiTheme="majorHAnsi"/>
          <w:b/>
          <w:bCs/>
          <w:sz w:val="22"/>
          <w:szCs w:val="22"/>
        </w:rPr>
      </w:pPr>
      <w:r w:rsidRPr="00DB65DE">
        <w:rPr>
          <w:rFonts w:asciiTheme="majorHAnsi" w:hAnsiTheme="majorHAnsi"/>
          <w:b/>
          <w:bCs/>
          <w:sz w:val="22"/>
          <w:szCs w:val="22"/>
        </w:rPr>
        <w:t>Statistical Analysis</w:t>
      </w:r>
    </w:p>
    <w:p w:rsidR="00DB65DE" w:rsidRDefault="00DB65DE" w:rsidP="00DB65DE">
      <w:pPr>
        <w:rPr>
          <w:rFonts w:asciiTheme="majorHAnsi" w:hAnsiTheme="majorHAnsi"/>
          <w:sz w:val="22"/>
          <w:szCs w:val="22"/>
        </w:rPr>
      </w:pPr>
      <w:r w:rsidRPr="00DB65DE">
        <w:rPr>
          <w:rFonts w:asciiTheme="majorHAnsi" w:hAnsiTheme="majorHAnsi"/>
          <w:sz w:val="22"/>
          <w:szCs w:val="22"/>
        </w:rPr>
        <w:t>A two-sample t-test was used to compare percentage of reduction of Alamar Blue reagent and DNA</w:t>
      </w:r>
      <w:r w:rsidR="00A26F95">
        <w:rPr>
          <w:rFonts w:asciiTheme="majorHAnsi" w:hAnsiTheme="majorHAnsi"/>
          <w:sz w:val="22"/>
          <w:szCs w:val="22"/>
        </w:rPr>
        <w:t xml:space="preserve"> </w:t>
      </w:r>
      <w:r w:rsidRPr="00DB65DE">
        <w:rPr>
          <w:rFonts w:asciiTheme="majorHAnsi" w:hAnsiTheme="majorHAnsi"/>
          <w:sz w:val="22"/>
          <w:szCs w:val="22"/>
        </w:rPr>
        <w:t>content of control cells and cells treated with Y-27632 (1010</w:t>
      </w:r>
      <w:r w:rsidRPr="00DB65DE">
        <w:rPr>
          <w:rFonts w:asciiTheme="majorHAnsi" w:hAnsiTheme="majorHAnsi"/>
          <w:sz w:val="22"/>
          <w:szCs w:val="22"/>
        </w:rPr>
        <w:t>M). A one way-ANOVA test was used</w:t>
      </w:r>
      <w:r w:rsidR="00A26F95">
        <w:rPr>
          <w:rFonts w:asciiTheme="majorHAnsi" w:hAnsiTheme="majorHAnsi"/>
          <w:sz w:val="22"/>
          <w:szCs w:val="22"/>
        </w:rPr>
        <w:t xml:space="preserve"> </w:t>
      </w:r>
      <w:r w:rsidRPr="00DB65DE">
        <w:rPr>
          <w:rFonts w:asciiTheme="majorHAnsi" w:hAnsiTheme="majorHAnsi"/>
          <w:sz w:val="22"/>
          <w:szCs w:val="22"/>
        </w:rPr>
        <w:t>to compare PGE2 synthesis amongst loaded and static cells with/without ROCK inhibition.</w:t>
      </w:r>
    </w:p>
    <w:p w:rsidR="001275E8" w:rsidRPr="00DB65DE" w:rsidRDefault="001275E8" w:rsidP="00DB65DE">
      <w:pPr>
        <w:rPr>
          <w:rFonts w:asciiTheme="majorHAnsi" w:hAnsiTheme="majorHAnsi"/>
          <w:sz w:val="22"/>
          <w:szCs w:val="22"/>
        </w:rPr>
      </w:pPr>
    </w:p>
    <w:p w:rsidR="00DB65DE" w:rsidRPr="00DB65DE" w:rsidRDefault="00DB65DE" w:rsidP="00DB65DE">
      <w:pPr>
        <w:rPr>
          <w:rFonts w:asciiTheme="majorHAnsi" w:hAnsiTheme="majorHAnsi"/>
          <w:b/>
          <w:bCs/>
          <w:sz w:val="22"/>
          <w:szCs w:val="22"/>
        </w:rPr>
      </w:pPr>
      <w:r w:rsidRPr="00DB65DE">
        <w:rPr>
          <w:rFonts w:asciiTheme="majorHAnsi" w:hAnsiTheme="majorHAnsi"/>
          <w:b/>
          <w:bCs/>
          <w:sz w:val="22"/>
          <w:szCs w:val="22"/>
        </w:rPr>
        <w:t>Results</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The viability of MC3T3-E1 cells was not affected when exposed to Y-27632, a pharmacological</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ROCK inhibitor, at 10</w:t>
      </w:r>
      <w:r w:rsidR="00214639">
        <w:rPr>
          <w:rFonts w:asciiTheme="majorHAnsi" w:hAnsiTheme="majorHAnsi"/>
          <w:sz w:val="22"/>
          <w:szCs w:val="22"/>
        </w:rPr>
        <w:t>µ</w:t>
      </w:r>
      <w:r w:rsidRPr="00DB65DE">
        <w:rPr>
          <w:rFonts w:asciiTheme="majorHAnsi" w:hAnsiTheme="majorHAnsi"/>
          <w:sz w:val="22"/>
          <w:szCs w:val="22"/>
        </w:rPr>
        <w:t>M for 1hr. The ability of the cells to reduce Alamar Blue reagent dye</w:t>
      </w:r>
    </w:p>
    <w:p w:rsidR="00DB65DE" w:rsidRDefault="00DB65DE" w:rsidP="00DB65DE">
      <w:pPr>
        <w:rPr>
          <w:rFonts w:asciiTheme="majorHAnsi" w:hAnsiTheme="majorHAnsi"/>
          <w:sz w:val="22"/>
          <w:szCs w:val="22"/>
        </w:rPr>
      </w:pPr>
      <w:r w:rsidRPr="00DB65DE">
        <w:rPr>
          <w:rFonts w:asciiTheme="majorHAnsi" w:hAnsiTheme="majorHAnsi"/>
          <w:sz w:val="22"/>
          <w:szCs w:val="22"/>
        </w:rPr>
        <w:t xml:space="preserve">(Resazurin) did not show any statistically significant difference </w:t>
      </w:r>
      <w:r w:rsidRPr="00DB65DE">
        <w:rPr>
          <w:rFonts w:asciiTheme="majorHAnsi" w:hAnsiTheme="majorHAnsi"/>
          <w:i/>
          <w:iCs/>
          <w:sz w:val="22"/>
          <w:szCs w:val="22"/>
        </w:rPr>
        <w:t xml:space="preserve">(p value &gt; 0.05) </w:t>
      </w:r>
      <w:r w:rsidRPr="00DB65DE">
        <w:rPr>
          <w:rFonts w:asciiTheme="majorHAnsi" w:hAnsiTheme="majorHAnsi"/>
          <w:sz w:val="22"/>
          <w:szCs w:val="22"/>
        </w:rPr>
        <w:t>when treated with Y-27632, Figure 1(A), indicating the non-toxic effects. Furthermore, it was also seen that DNA content</w:t>
      </w:r>
      <w:r w:rsidR="00A26F95">
        <w:rPr>
          <w:rFonts w:asciiTheme="majorHAnsi" w:hAnsiTheme="majorHAnsi"/>
          <w:sz w:val="22"/>
          <w:szCs w:val="22"/>
        </w:rPr>
        <w:t xml:space="preserve"> </w:t>
      </w:r>
      <w:r w:rsidRPr="00DB65DE">
        <w:rPr>
          <w:rFonts w:asciiTheme="majorHAnsi" w:hAnsiTheme="majorHAnsi"/>
          <w:sz w:val="22"/>
          <w:szCs w:val="22"/>
        </w:rPr>
        <w:t xml:space="preserve">of these cells was not significantly different </w:t>
      </w:r>
      <w:r w:rsidRPr="00DB65DE">
        <w:rPr>
          <w:rFonts w:asciiTheme="majorHAnsi" w:hAnsiTheme="majorHAnsi"/>
          <w:i/>
          <w:iCs/>
          <w:sz w:val="22"/>
          <w:szCs w:val="22"/>
        </w:rPr>
        <w:t xml:space="preserve">(p value &gt; 0.05) </w:t>
      </w:r>
      <w:r w:rsidRPr="00DB65DE">
        <w:rPr>
          <w:rFonts w:asciiTheme="majorHAnsi" w:hAnsiTheme="majorHAnsi"/>
          <w:sz w:val="22"/>
          <w:szCs w:val="22"/>
        </w:rPr>
        <w:t>either treated or untreated with ROCK</w:t>
      </w:r>
      <w:r w:rsidR="00A26F95">
        <w:rPr>
          <w:rFonts w:asciiTheme="majorHAnsi" w:hAnsiTheme="majorHAnsi"/>
          <w:sz w:val="22"/>
          <w:szCs w:val="22"/>
        </w:rPr>
        <w:t xml:space="preserve"> </w:t>
      </w:r>
      <w:r w:rsidRPr="00DB65DE">
        <w:rPr>
          <w:rFonts w:asciiTheme="majorHAnsi" w:hAnsiTheme="majorHAnsi"/>
          <w:sz w:val="22"/>
          <w:szCs w:val="22"/>
        </w:rPr>
        <w:t>inhibitor, Figure 1(B).</w:t>
      </w:r>
    </w:p>
    <w:p w:rsidR="00A26F95" w:rsidRDefault="00214639" w:rsidP="00DB65DE">
      <w:pPr>
        <w:rPr>
          <w:rFonts w:asciiTheme="majorHAnsi" w:hAnsiTheme="majorHAnsi"/>
          <w:sz w:val="22"/>
          <w:szCs w:val="22"/>
        </w:rPr>
      </w:pPr>
      <w:r w:rsidRPr="00214639">
        <w:rPr>
          <w:rFonts w:asciiTheme="majorHAnsi" w:hAnsiTheme="majorHAnsi"/>
          <w:noProof/>
          <w:sz w:val="22"/>
          <w:szCs w:val="22"/>
          <w:lang w:eastAsia="en-US"/>
        </w:rPr>
        <w:drawing>
          <wp:inline distT="0" distB="0" distL="0" distR="0">
            <wp:extent cx="5486400" cy="131060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310601"/>
                    </a:xfrm>
                    <a:prstGeom prst="rect">
                      <a:avLst/>
                    </a:prstGeom>
                    <a:noFill/>
                    <a:ln>
                      <a:noFill/>
                    </a:ln>
                  </pic:spPr>
                </pic:pic>
              </a:graphicData>
            </a:graphic>
          </wp:inline>
        </w:drawing>
      </w:r>
    </w:p>
    <w:p w:rsidR="00A26F95" w:rsidRPr="00DB65DE" w:rsidRDefault="00A26F95" w:rsidP="00DB65DE">
      <w:pPr>
        <w:rPr>
          <w:rFonts w:asciiTheme="majorHAnsi" w:hAnsiTheme="majorHAnsi"/>
          <w:sz w:val="22"/>
          <w:szCs w:val="22"/>
        </w:rPr>
      </w:pPr>
    </w:p>
    <w:p w:rsidR="00DB65DE" w:rsidRDefault="00DB65DE" w:rsidP="00DB65DE">
      <w:pPr>
        <w:rPr>
          <w:rFonts w:asciiTheme="majorHAnsi" w:hAnsiTheme="majorHAnsi"/>
          <w:i/>
          <w:iCs/>
          <w:sz w:val="22"/>
          <w:szCs w:val="22"/>
        </w:rPr>
      </w:pPr>
      <w:r w:rsidRPr="00DB65DE">
        <w:rPr>
          <w:rFonts w:asciiTheme="majorHAnsi" w:hAnsiTheme="majorHAnsi"/>
          <w:b/>
          <w:bCs/>
          <w:i/>
          <w:iCs/>
          <w:sz w:val="22"/>
          <w:szCs w:val="22"/>
        </w:rPr>
        <w:t>Figure 1</w:t>
      </w:r>
      <w:r w:rsidRPr="00DB65DE">
        <w:rPr>
          <w:rFonts w:asciiTheme="majorHAnsi" w:hAnsiTheme="majorHAnsi"/>
          <w:i/>
          <w:iCs/>
          <w:sz w:val="22"/>
          <w:szCs w:val="22"/>
        </w:rPr>
        <w:t>: (A) Percentenage of reduction in Alamar Blue reagant in MC3T3-E1 cells treated with and without,</w:t>
      </w:r>
      <w:r w:rsidR="00CE404F">
        <w:rPr>
          <w:rFonts w:asciiTheme="majorHAnsi" w:hAnsiTheme="majorHAnsi"/>
          <w:i/>
          <w:iCs/>
          <w:sz w:val="22"/>
          <w:szCs w:val="22"/>
        </w:rPr>
        <w:t xml:space="preserve"> </w:t>
      </w:r>
      <w:r w:rsidRPr="00DB65DE">
        <w:rPr>
          <w:rFonts w:asciiTheme="majorHAnsi" w:hAnsiTheme="majorHAnsi"/>
          <w:i/>
          <w:iCs/>
          <w:sz w:val="22"/>
          <w:szCs w:val="22"/>
        </w:rPr>
        <w:t>pharmacological ROCK inhibitor, Y-27632 at 10</w:t>
      </w:r>
      <w:r w:rsidR="00214639">
        <w:rPr>
          <w:rFonts w:asciiTheme="majorHAnsi" w:hAnsiTheme="majorHAnsi"/>
          <w:i/>
          <w:iCs/>
          <w:sz w:val="22"/>
          <w:szCs w:val="22"/>
        </w:rPr>
        <w:t>µ</w:t>
      </w:r>
      <w:r w:rsidRPr="00DB65DE">
        <w:rPr>
          <w:rFonts w:asciiTheme="majorHAnsi" w:hAnsiTheme="majorHAnsi"/>
          <w:i/>
          <w:iCs/>
          <w:sz w:val="22"/>
          <w:szCs w:val="22"/>
        </w:rPr>
        <w:t>M (B) DNA content of treated and non-treated cells. No</w:t>
      </w:r>
      <w:r w:rsidR="00CE404F">
        <w:rPr>
          <w:rFonts w:asciiTheme="majorHAnsi" w:hAnsiTheme="majorHAnsi"/>
          <w:i/>
          <w:iCs/>
          <w:sz w:val="22"/>
          <w:szCs w:val="22"/>
        </w:rPr>
        <w:t xml:space="preserve"> </w:t>
      </w:r>
      <w:r w:rsidRPr="00DB65DE">
        <w:rPr>
          <w:rFonts w:asciiTheme="majorHAnsi" w:hAnsiTheme="majorHAnsi"/>
          <w:i/>
          <w:iCs/>
          <w:sz w:val="22"/>
          <w:szCs w:val="22"/>
        </w:rPr>
        <w:t>statistically significant differences seen (p value &gt; 0.05).</w:t>
      </w:r>
    </w:p>
    <w:p w:rsidR="00214639" w:rsidRPr="00DB65DE" w:rsidRDefault="00214639" w:rsidP="00DB65DE">
      <w:pPr>
        <w:rPr>
          <w:rFonts w:asciiTheme="majorHAnsi" w:hAnsiTheme="majorHAnsi"/>
          <w:i/>
          <w:iCs/>
          <w:sz w:val="22"/>
          <w:szCs w:val="22"/>
        </w:rPr>
      </w:pP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When ROCK was inhibited using Y-27632 in mechanically stimulated cells, the PGE2 synthesis was</w:t>
      </w:r>
      <w:r w:rsidR="00563E12">
        <w:rPr>
          <w:rFonts w:asciiTheme="majorHAnsi" w:hAnsiTheme="majorHAnsi"/>
          <w:sz w:val="22"/>
          <w:szCs w:val="22"/>
        </w:rPr>
        <w:t xml:space="preserve"> </w:t>
      </w:r>
      <w:r w:rsidRPr="00DB65DE">
        <w:rPr>
          <w:rFonts w:asciiTheme="majorHAnsi" w:hAnsiTheme="majorHAnsi"/>
          <w:sz w:val="22"/>
          <w:szCs w:val="22"/>
        </w:rPr>
        <w:t>highly reduced (p-value &lt;0.05) indicating the negative effect on osteogenesis of these cells. The</w:t>
      </w:r>
      <w:r w:rsidR="00563E12">
        <w:rPr>
          <w:rFonts w:asciiTheme="majorHAnsi" w:hAnsiTheme="majorHAnsi"/>
          <w:sz w:val="22"/>
          <w:szCs w:val="22"/>
        </w:rPr>
        <w:t xml:space="preserve"> </w:t>
      </w:r>
      <w:r w:rsidRPr="00DB65DE">
        <w:rPr>
          <w:rFonts w:asciiTheme="majorHAnsi" w:hAnsiTheme="majorHAnsi"/>
          <w:sz w:val="22"/>
          <w:szCs w:val="22"/>
        </w:rPr>
        <w:t>synthesis of PGE2 by mechanically stimulated and static control cells was also statistically</w:t>
      </w:r>
      <w:r w:rsidR="00563E12">
        <w:rPr>
          <w:rFonts w:asciiTheme="majorHAnsi" w:hAnsiTheme="majorHAnsi"/>
          <w:sz w:val="22"/>
          <w:szCs w:val="22"/>
        </w:rPr>
        <w:t xml:space="preserve"> </w:t>
      </w:r>
      <w:r w:rsidRPr="00DB65DE">
        <w:rPr>
          <w:rFonts w:asciiTheme="majorHAnsi" w:hAnsiTheme="majorHAnsi"/>
          <w:sz w:val="22"/>
          <w:szCs w:val="22"/>
        </w:rPr>
        <w:t>significantly different from each other (p-value &lt;0.05), Figure 2(A). Immunofluoroscent imaging,</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Figure 2(B), showed extreme disruption of cytoskeleton when flow was applied on ROCK inhibited</w:t>
      </w:r>
      <w:r w:rsidR="00563E12">
        <w:rPr>
          <w:rFonts w:asciiTheme="majorHAnsi" w:hAnsiTheme="majorHAnsi"/>
          <w:sz w:val="22"/>
          <w:szCs w:val="22"/>
        </w:rPr>
        <w:t xml:space="preserve"> </w:t>
      </w:r>
      <w:r w:rsidRPr="00DB65DE">
        <w:rPr>
          <w:rFonts w:asciiTheme="majorHAnsi" w:hAnsiTheme="majorHAnsi"/>
          <w:sz w:val="22"/>
          <w:szCs w:val="22"/>
        </w:rPr>
        <w:t>cells. Also some disruption was visible in inhibitor exposed cells under static condition but static and</w:t>
      </w:r>
      <w:r w:rsidR="00214639">
        <w:rPr>
          <w:rFonts w:asciiTheme="majorHAnsi" w:hAnsiTheme="majorHAnsi"/>
          <w:sz w:val="22"/>
          <w:szCs w:val="22"/>
        </w:rPr>
        <w:t xml:space="preserve"> </w:t>
      </w:r>
      <w:r w:rsidRPr="00DB65DE">
        <w:rPr>
          <w:rFonts w:asciiTheme="majorHAnsi" w:hAnsiTheme="majorHAnsi"/>
          <w:sz w:val="22"/>
          <w:szCs w:val="22"/>
        </w:rPr>
        <w:t>flow control cells did not seem to have much difference in the development of F-actin stress-fibres as</w:t>
      </w:r>
      <w:r w:rsidR="00214639">
        <w:rPr>
          <w:rFonts w:asciiTheme="majorHAnsi" w:hAnsiTheme="majorHAnsi"/>
          <w:sz w:val="22"/>
          <w:szCs w:val="22"/>
        </w:rPr>
        <w:t xml:space="preserve"> </w:t>
      </w:r>
      <w:r w:rsidRPr="00DB65DE">
        <w:rPr>
          <w:rFonts w:asciiTheme="majorHAnsi" w:hAnsiTheme="majorHAnsi"/>
          <w:sz w:val="22"/>
          <w:szCs w:val="22"/>
        </w:rPr>
        <w:t>seen in a previous study[12].</w:t>
      </w:r>
    </w:p>
    <w:p w:rsidR="00DB65DE" w:rsidRDefault="00DB65DE" w:rsidP="00DB65DE">
      <w:pPr>
        <w:rPr>
          <w:rFonts w:asciiTheme="majorHAnsi" w:hAnsiTheme="majorHAnsi"/>
          <w:sz w:val="22"/>
          <w:szCs w:val="22"/>
        </w:rPr>
      </w:pPr>
    </w:p>
    <w:p w:rsidR="00214639" w:rsidRPr="00DB65DE" w:rsidRDefault="00214639" w:rsidP="00DB65DE">
      <w:pPr>
        <w:rPr>
          <w:rFonts w:asciiTheme="majorHAnsi" w:hAnsiTheme="majorHAnsi"/>
          <w:sz w:val="22"/>
          <w:szCs w:val="22"/>
        </w:rPr>
      </w:pPr>
      <w:r w:rsidRPr="00214639">
        <w:rPr>
          <w:rFonts w:asciiTheme="majorHAnsi" w:hAnsiTheme="majorHAnsi"/>
          <w:noProof/>
          <w:sz w:val="22"/>
          <w:szCs w:val="22"/>
          <w:lang w:eastAsia="en-US"/>
        </w:rPr>
        <w:drawing>
          <wp:inline distT="0" distB="0" distL="0" distR="0">
            <wp:extent cx="5486400" cy="18749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874953"/>
                    </a:xfrm>
                    <a:prstGeom prst="rect">
                      <a:avLst/>
                    </a:prstGeom>
                    <a:noFill/>
                    <a:ln>
                      <a:noFill/>
                    </a:ln>
                  </pic:spPr>
                </pic:pic>
              </a:graphicData>
            </a:graphic>
          </wp:inline>
        </w:drawing>
      </w:r>
    </w:p>
    <w:p w:rsidR="00214639" w:rsidRDefault="00214639" w:rsidP="00DB65DE">
      <w:pPr>
        <w:rPr>
          <w:rFonts w:asciiTheme="majorHAnsi" w:hAnsiTheme="majorHAnsi"/>
          <w:b/>
          <w:bCs/>
          <w:i/>
          <w:iCs/>
          <w:sz w:val="22"/>
          <w:szCs w:val="22"/>
        </w:rPr>
      </w:pPr>
    </w:p>
    <w:p w:rsidR="00DB65DE" w:rsidRDefault="00DB65DE" w:rsidP="00DB65DE">
      <w:pPr>
        <w:rPr>
          <w:rFonts w:asciiTheme="majorHAnsi" w:hAnsiTheme="majorHAnsi"/>
          <w:i/>
          <w:iCs/>
          <w:sz w:val="22"/>
          <w:szCs w:val="22"/>
        </w:rPr>
      </w:pPr>
      <w:r w:rsidRPr="00DB65DE">
        <w:rPr>
          <w:rFonts w:asciiTheme="majorHAnsi" w:hAnsiTheme="majorHAnsi"/>
          <w:b/>
          <w:bCs/>
          <w:i/>
          <w:iCs/>
          <w:sz w:val="22"/>
          <w:szCs w:val="22"/>
        </w:rPr>
        <w:t>Figure 2</w:t>
      </w:r>
      <w:r w:rsidRPr="00DB65DE">
        <w:rPr>
          <w:rFonts w:asciiTheme="majorHAnsi" w:hAnsiTheme="majorHAnsi"/>
          <w:i/>
          <w:iCs/>
          <w:sz w:val="22"/>
          <w:szCs w:val="22"/>
        </w:rPr>
        <w:t>: (A)PGE2 synthesis by mechanically stimulated (flow) and static MC3T3-E1cells following treatment</w:t>
      </w:r>
      <w:r w:rsidR="00214639">
        <w:rPr>
          <w:rFonts w:asciiTheme="majorHAnsi" w:hAnsiTheme="majorHAnsi"/>
          <w:i/>
          <w:iCs/>
          <w:sz w:val="22"/>
          <w:szCs w:val="22"/>
        </w:rPr>
        <w:t xml:space="preserve"> </w:t>
      </w:r>
      <w:r w:rsidRPr="00DB65DE">
        <w:rPr>
          <w:rFonts w:asciiTheme="majorHAnsi" w:hAnsiTheme="majorHAnsi"/>
          <w:i/>
          <w:iCs/>
          <w:sz w:val="22"/>
          <w:szCs w:val="22"/>
        </w:rPr>
        <w:t>with or without Y-27632. Statistically significant differences were seen,+*p &lt;0.05. (B) Immunofluoroscent</w:t>
      </w:r>
      <w:r w:rsidR="00214639">
        <w:rPr>
          <w:rFonts w:asciiTheme="majorHAnsi" w:hAnsiTheme="majorHAnsi"/>
          <w:i/>
          <w:iCs/>
          <w:sz w:val="22"/>
          <w:szCs w:val="22"/>
        </w:rPr>
        <w:t xml:space="preserve"> </w:t>
      </w:r>
      <w:r w:rsidRPr="00DB65DE">
        <w:rPr>
          <w:rFonts w:asciiTheme="majorHAnsi" w:hAnsiTheme="majorHAnsi"/>
          <w:i/>
          <w:iCs/>
          <w:sz w:val="22"/>
          <w:szCs w:val="22"/>
        </w:rPr>
        <w:t>imaging of actin-fibres (green) and nucleus (blue) for all conditions, where S is static and F is flow. White</w:t>
      </w:r>
      <w:r w:rsidR="00214639">
        <w:rPr>
          <w:rFonts w:asciiTheme="majorHAnsi" w:hAnsiTheme="majorHAnsi"/>
          <w:i/>
          <w:iCs/>
          <w:sz w:val="22"/>
          <w:szCs w:val="22"/>
        </w:rPr>
        <w:t xml:space="preserve"> </w:t>
      </w:r>
      <w:r w:rsidRPr="00DB65DE">
        <w:rPr>
          <w:rFonts w:asciiTheme="majorHAnsi" w:hAnsiTheme="majorHAnsi"/>
          <w:i/>
          <w:iCs/>
          <w:sz w:val="22"/>
          <w:szCs w:val="22"/>
        </w:rPr>
        <w:t>arrows indicate where disruption in actin cytoskeleton is seen</w:t>
      </w:r>
    </w:p>
    <w:p w:rsidR="00214639" w:rsidRPr="00DB65DE" w:rsidRDefault="00214639" w:rsidP="00DB65DE">
      <w:pPr>
        <w:rPr>
          <w:rFonts w:asciiTheme="majorHAnsi" w:hAnsiTheme="majorHAnsi"/>
          <w:i/>
          <w:iCs/>
          <w:sz w:val="22"/>
          <w:szCs w:val="22"/>
        </w:rPr>
      </w:pPr>
    </w:p>
    <w:p w:rsidR="00DB65DE" w:rsidRPr="00DB65DE" w:rsidRDefault="00DB65DE" w:rsidP="00DB65DE">
      <w:pPr>
        <w:rPr>
          <w:rFonts w:asciiTheme="majorHAnsi" w:hAnsiTheme="majorHAnsi"/>
          <w:b/>
          <w:bCs/>
          <w:sz w:val="22"/>
          <w:szCs w:val="22"/>
        </w:rPr>
      </w:pPr>
      <w:r w:rsidRPr="00DB65DE">
        <w:rPr>
          <w:rFonts w:asciiTheme="majorHAnsi" w:hAnsiTheme="majorHAnsi"/>
          <w:b/>
          <w:bCs/>
          <w:sz w:val="22"/>
          <w:szCs w:val="22"/>
        </w:rPr>
        <w:t>Discussion</w:t>
      </w:r>
    </w:p>
    <w:p w:rsidR="00DB65DE" w:rsidRDefault="00DB65DE" w:rsidP="00DB65DE">
      <w:pPr>
        <w:rPr>
          <w:rFonts w:asciiTheme="majorHAnsi" w:hAnsiTheme="majorHAnsi"/>
          <w:sz w:val="22"/>
          <w:szCs w:val="22"/>
        </w:rPr>
      </w:pPr>
      <w:r w:rsidRPr="00DB65DE">
        <w:rPr>
          <w:rFonts w:asciiTheme="majorHAnsi" w:hAnsiTheme="majorHAnsi"/>
          <w:sz w:val="22"/>
          <w:szCs w:val="22"/>
        </w:rPr>
        <w:t>The results of this study for the first time, show that ROCK inhibition in osteoblasts suppresses the</w:t>
      </w:r>
      <w:r w:rsidR="00214639">
        <w:rPr>
          <w:rFonts w:asciiTheme="majorHAnsi" w:hAnsiTheme="majorHAnsi"/>
          <w:sz w:val="22"/>
          <w:szCs w:val="22"/>
        </w:rPr>
        <w:t xml:space="preserve"> </w:t>
      </w:r>
      <w:r w:rsidRPr="00DB65DE">
        <w:rPr>
          <w:rFonts w:asciiTheme="majorHAnsi" w:hAnsiTheme="majorHAnsi"/>
          <w:sz w:val="22"/>
          <w:szCs w:val="22"/>
        </w:rPr>
        <w:t>fluid flow induced osteogenic effects, as evident from reduction in PGE2 synthesis. Previously it was</w:t>
      </w:r>
      <w:r w:rsidR="00214639">
        <w:rPr>
          <w:rFonts w:asciiTheme="majorHAnsi" w:hAnsiTheme="majorHAnsi"/>
          <w:sz w:val="22"/>
          <w:szCs w:val="22"/>
        </w:rPr>
        <w:t xml:space="preserve"> </w:t>
      </w:r>
      <w:r w:rsidRPr="00DB65DE">
        <w:rPr>
          <w:rFonts w:asciiTheme="majorHAnsi" w:hAnsiTheme="majorHAnsi"/>
          <w:sz w:val="22"/>
          <w:szCs w:val="22"/>
        </w:rPr>
        <w:t>shown that ROCK activation may be necessary for fluid flow induced osteogenesis in Mesenchymal</w:t>
      </w:r>
      <w:r w:rsidR="00214639">
        <w:rPr>
          <w:rFonts w:asciiTheme="majorHAnsi" w:hAnsiTheme="majorHAnsi"/>
          <w:sz w:val="22"/>
          <w:szCs w:val="22"/>
        </w:rPr>
        <w:t xml:space="preserve"> </w:t>
      </w:r>
      <w:r w:rsidRPr="00DB65DE">
        <w:rPr>
          <w:rFonts w:asciiTheme="majorHAnsi" w:hAnsiTheme="majorHAnsi"/>
          <w:sz w:val="22"/>
          <w:szCs w:val="22"/>
        </w:rPr>
        <w:t>Stem Cell (MSCs) [10]. Ongoing studies are evaluating alterations in gene expressions of osteogenic</w:t>
      </w:r>
      <w:r w:rsidR="00214639">
        <w:rPr>
          <w:rFonts w:asciiTheme="majorHAnsi" w:hAnsiTheme="majorHAnsi"/>
          <w:sz w:val="22"/>
          <w:szCs w:val="22"/>
        </w:rPr>
        <w:t xml:space="preserve"> </w:t>
      </w:r>
      <w:r w:rsidRPr="00DB65DE">
        <w:rPr>
          <w:rFonts w:asciiTheme="majorHAnsi" w:hAnsiTheme="majorHAnsi"/>
          <w:sz w:val="22"/>
          <w:szCs w:val="22"/>
        </w:rPr>
        <w:t>markers such as COX-2, RUNX-2, ALP, RANKL and Osteocalcin. All the results will be compared</w:t>
      </w:r>
      <w:r w:rsidR="00214639">
        <w:rPr>
          <w:rFonts w:asciiTheme="majorHAnsi" w:hAnsiTheme="majorHAnsi"/>
          <w:sz w:val="22"/>
          <w:szCs w:val="22"/>
        </w:rPr>
        <w:t xml:space="preserve"> </w:t>
      </w:r>
      <w:r w:rsidRPr="00DB65DE">
        <w:rPr>
          <w:rFonts w:asciiTheme="majorHAnsi" w:hAnsiTheme="majorHAnsi"/>
          <w:sz w:val="22"/>
          <w:szCs w:val="22"/>
        </w:rPr>
        <w:t>to similar experiments done with estrogen deficient cells and as ROCK is an important</w:t>
      </w:r>
      <w:r w:rsidR="00214639">
        <w:rPr>
          <w:rFonts w:asciiTheme="majorHAnsi" w:hAnsiTheme="majorHAnsi"/>
          <w:sz w:val="22"/>
          <w:szCs w:val="22"/>
        </w:rPr>
        <w:t xml:space="preserve"> </w:t>
      </w:r>
      <w:r w:rsidRPr="00DB65DE">
        <w:rPr>
          <w:rFonts w:asciiTheme="majorHAnsi" w:hAnsiTheme="majorHAnsi"/>
          <w:sz w:val="22"/>
          <w:szCs w:val="22"/>
        </w:rPr>
        <w:t>mechanotransduction protein, further experiments are expected to shed some light on targeting the</w:t>
      </w:r>
      <w:r w:rsidR="00214639">
        <w:rPr>
          <w:rFonts w:asciiTheme="majorHAnsi" w:hAnsiTheme="majorHAnsi"/>
          <w:sz w:val="22"/>
          <w:szCs w:val="22"/>
        </w:rPr>
        <w:t xml:space="preserve"> </w:t>
      </w:r>
      <w:r w:rsidRPr="00DB65DE">
        <w:rPr>
          <w:rFonts w:asciiTheme="majorHAnsi" w:hAnsiTheme="majorHAnsi"/>
          <w:sz w:val="22"/>
          <w:szCs w:val="22"/>
        </w:rPr>
        <w:t>altered mechanosensitivity and mechanotransduction of osteoporotic bone cells.</w:t>
      </w:r>
    </w:p>
    <w:p w:rsidR="00214639" w:rsidRPr="00DB65DE" w:rsidRDefault="00214639" w:rsidP="00DB65DE">
      <w:pPr>
        <w:rPr>
          <w:rFonts w:asciiTheme="majorHAnsi" w:hAnsiTheme="majorHAnsi"/>
          <w:sz w:val="22"/>
          <w:szCs w:val="22"/>
        </w:rPr>
      </w:pPr>
    </w:p>
    <w:p w:rsidR="00DB65DE" w:rsidRPr="00DB65DE" w:rsidRDefault="00DB65DE" w:rsidP="00DB65DE">
      <w:pPr>
        <w:rPr>
          <w:rFonts w:asciiTheme="majorHAnsi" w:hAnsiTheme="majorHAnsi"/>
          <w:b/>
          <w:bCs/>
          <w:sz w:val="22"/>
          <w:szCs w:val="22"/>
        </w:rPr>
      </w:pPr>
      <w:r w:rsidRPr="00DB65DE">
        <w:rPr>
          <w:rFonts w:asciiTheme="majorHAnsi" w:hAnsiTheme="majorHAnsi"/>
          <w:b/>
          <w:bCs/>
          <w:sz w:val="22"/>
          <w:szCs w:val="22"/>
        </w:rPr>
        <w:t>References:</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 xml:space="preserve">1. Brennan, M.A., ; McDermott, A., ; McNamara, L.M. . </w:t>
      </w:r>
      <w:r w:rsidRPr="00DB65DE">
        <w:rPr>
          <w:rFonts w:asciiTheme="majorHAnsi" w:hAnsiTheme="majorHAnsi"/>
          <w:i/>
          <w:iCs/>
          <w:sz w:val="22"/>
          <w:szCs w:val="22"/>
        </w:rPr>
        <w:t>The Impact of Shear Stress during Estrogen Withdrawal on</w:t>
      </w:r>
      <w:r w:rsidR="00214639">
        <w:rPr>
          <w:rFonts w:asciiTheme="majorHAnsi" w:hAnsiTheme="majorHAnsi"/>
          <w:i/>
          <w:iCs/>
          <w:sz w:val="22"/>
          <w:szCs w:val="22"/>
        </w:rPr>
        <w:t xml:space="preserve"> </w:t>
      </w:r>
      <w:r w:rsidRPr="00DB65DE">
        <w:rPr>
          <w:rFonts w:asciiTheme="majorHAnsi" w:hAnsiTheme="majorHAnsi"/>
          <w:i/>
          <w:iCs/>
          <w:sz w:val="22"/>
          <w:szCs w:val="22"/>
        </w:rPr>
        <w:t>Cell Viability and Mineral Production of Osteoblasts</w:t>
      </w:r>
      <w:r w:rsidRPr="00DB65DE">
        <w:rPr>
          <w:rFonts w:asciiTheme="majorHAnsi" w:hAnsiTheme="majorHAnsi"/>
          <w:sz w:val="22"/>
          <w:szCs w:val="22"/>
        </w:rPr>
        <w:t xml:space="preserve">. in </w:t>
      </w:r>
      <w:r w:rsidRPr="00DB65DE">
        <w:rPr>
          <w:rFonts w:asciiTheme="majorHAnsi" w:hAnsiTheme="majorHAnsi"/>
          <w:i/>
          <w:iCs/>
          <w:sz w:val="22"/>
          <w:szCs w:val="22"/>
        </w:rPr>
        <w:t>Orthopaedic Research Society</w:t>
      </w:r>
      <w:r w:rsidRPr="00DB65DE">
        <w:rPr>
          <w:rFonts w:asciiTheme="majorHAnsi" w:hAnsiTheme="majorHAnsi"/>
          <w:sz w:val="22"/>
          <w:szCs w:val="22"/>
        </w:rPr>
        <w:t>. 2012. San Francisco, USA.</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 xml:space="preserve">2. Brennan, M.A.G., J. P.; O'Brien, F. J.; McNamara, L. M., </w:t>
      </w:r>
      <w:r w:rsidRPr="00DB65DE">
        <w:rPr>
          <w:rFonts w:asciiTheme="majorHAnsi" w:hAnsiTheme="majorHAnsi"/>
          <w:i/>
          <w:iCs/>
          <w:sz w:val="22"/>
          <w:szCs w:val="22"/>
        </w:rPr>
        <w:t>Effects of ageing, prolonged estrogen deficiency and</w:t>
      </w:r>
      <w:r w:rsidR="00214639">
        <w:rPr>
          <w:rFonts w:asciiTheme="majorHAnsi" w:hAnsiTheme="majorHAnsi"/>
          <w:i/>
          <w:iCs/>
          <w:sz w:val="22"/>
          <w:szCs w:val="22"/>
        </w:rPr>
        <w:t xml:space="preserve"> </w:t>
      </w:r>
      <w:r w:rsidRPr="00DB65DE">
        <w:rPr>
          <w:rFonts w:asciiTheme="majorHAnsi" w:hAnsiTheme="majorHAnsi"/>
          <w:i/>
          <w:iCs/>
          <w:sz w:val="22"/>
          <w:szCs w:val="22"/>
        </w:rPr>
        <w:t xml:space="preserve">zoledronate on bone tissue mineral distribution. </w:t>
      </w:r>
      <w:r w:rsidRPr="00DB65DE">
        <w:rPr>
          <w:rFonts w:asciiTheme="majorHAnsi" w:hAnsiTheme="majorHAnsi"/>
          <w:sz w:val="22"/>
          <w:szCs w:val="22"/>
        </w:rPr>
        <w:t xml:space="preserve">J Mech Behav Biomed Mater, 2014. </w:t>
      </w:r>
      <w:r w:rsidRPr="00DB65DE">
        <w:rPr>
          <w:rFonts w:asciiTheme="majorHAnsi" w:hAnsiTheme="majorHAnsi"/>
          <w:b/>
          <w:bCs/>
          <w:sz w:val="22"/>
          <w:szCs w:val="22"/>
        </w:rPr>
        <w:t>29</w:t>
      </w:r>
      <w:r w:rsidRPr="00DB65DE">
        <w:rPr>
          <w:rFonts w:asciiTheme="majorHAnsi" w:hAnsiTheme="majorHAnsi"/>
          <w:sz w:val="22"/>
          <w:szCs w:val="22"/>
        </w:rPr>
        <w:t>: p. 161-70.</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 xml:space="preserve">3. Voisin, M.M., L. M., </w:t>
      </w:r>
      <w:r w:rsidRPr="00DB65DE">
        <w:rPr>
          <w:rFonts w:asciiTheme="majorHAnsi" w:hAnsiTheme="majorHAnsi"/>
          <w:i/>
          <w:iCs/>
          <w:sz w:val="22"/>
          <w:szCs w:val="22"/>
        </w:rPr>
        <w:t>Differential beta3 and beta1 Integrin Expression in Bone Marrow and Cortical Bone of</w:t>
      </w:r>
      <w:r w:rsidR="00214639">
        <w:rPr>
          <w:rFonts w:asciiTheme="majorHAnsi" w:hAnsiTheme="majorHAnsi"/>
          <w:i/>
          <w:iCs/>
          <w:sz w:val="22"/>
          <w:szCs w:val="22"/>
        </w:rPr>
        <w:t xml:space="preserve"> </w:t>
      </w:r>
      <w:r w:rsidRPr="00DB65DE">
        <w:rPr>
          <w:rFonts w:asciiTheme="majorHAnsi" w:hAnsiTheme="majorHAnsi"/>
          <w:i/>
          <w:iCs/>
          <w:sz w:val="22"/>
          <w:szCs w:val="22"/>
        </w:rPr>
        <w:t xml:space="preserve">Estrogen Deficient Rats. </w:t>
      </w:r>
      <w:r w:rsidRPr="00DB65DE">
        <w:rPr>
          <w:rFonts w:asciiTheme="majorHAnsi" w:hAnsiTheme="majorHAnsi"/>
          <w:sz w:val="22"/>
          <w:szCs w:val="22"/>
        </w:rPr>
        <w:t xml:space="preserve">Anat Rec, 2015. </w:t>
      </w:r>
      <w:r w:rsidRPr="00DB65DE">
        <w:rPr>
          <w:rFonts w:asciiTheme="majorHAnsi" w:hAnsiTheme="majorHAnsi"/>
          <w:b/>
          <w:bCs/>
          <w:sz w:val="22"/>
          <w:szCs w:val="22"/>
        </w:rPr>
        <w:t>298</w:t>
      </w:r>
      <w:r w:rsidRPr="00DB65DE">
        <w:rPr>
          <w:rFonts w:asciiTheme="majorHAnsi" w:hAnsiTheme="majorHAnsi"/>
          <w:sz w:val="22"/>
          <w:szCs w:val="22"/>
        </w:rPr>
        <w:t>(9): p. 1548-59.</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 xml:space="preserve">4. Ogawa, T.T., H; Miyata, Y; Ushitora, Y; Fudaba, Y; Kobayashi, T; Arihiro, K; Okajima, M; Asahara, T, </w:t>
      </w:r>
      <w:r w:rsidRPr="00DB65DE">
        <w:rPr>
          <w:rFonts w:asciiTheme="majorHAnsi" w:hAnsiTheme="majorHAnsi"/>
          <w:i/>
          <w:iCs/>
          <w:sz w:val="22"/>
          <w:szCs w:val="22"/>
        </w:rPr>
        <w:t>Rho‐Associated</w:t>
      </w:r>
      <w:r w:rsidR="00214639">
        <w:rPr>
          <w:rFonts w:asciiTheme="majorHAnsi" w:hAnsiTheme="majorHAnsi"/>
          <w:i/>
          <w:iCs/>
          <w:sz w:val="22"/>
          <w:szCs w:val="22"/>
        </w:rPr>
        <w:t xml:space="preserve"> </w:t>
      </w:r>
      <w:r w:rsidRPr="00DB65DE">
        <w:rPr>
          <w:rFonts w:asciiTheme="majorHAnsi" w:hAnsiTheme="majorHAnsi"/>
          <w:i/>
          <w:iCs/>
          <w:sz w:val="22"/>
          <w:szCs w:val="22"/>
        </w:rPr>
        <w:t xml:space="preserve">Kinase Inhibitor Reduces Tumor Recurrence After Liver Transplantation in a Rat Hepatoma Model. </w:t>
      </w:r>
      <w:r w:rsidRPr="00DB65DE">
        <w:rPr>
          <w:rFonts w:asciiTheme="majorHAnsi" w:hAnsiTheme="majorHAnsi"/>
          <w:sz w:val="22"/>
          <w:szCs w:val="22"/>
        </w:rPr>
        <w:t>American</w:t>
      </w:r>
      <w:r w:rsidR="00214639">
        <w:rPr>
          <w:rFonts w:asciiTheme="majorHAnsi" w:hAnsiTheme="majorHAnsi"/>
          <w:sz w:val="22"/>
          <w:szCs w:val="22"/>
        </w:rPr>
        <w:t xml:space="preserve"> </w:t>
      </w:r>
      <w:r w:rsidRPr="00DB65DE">
        <w:rPr>
          <w:rFonts w:asciiTheme="majorHAnsi" w:hAnsiTheme="majorHAnsi"/>
          <w:sz w:val="22"/>
          <w:szCs w:val="22"/>
        </w:rPr>
        <w:t xml:space="preserve">journal of transplantation, 2007. </w:t>
      </w:r>
      <w:r w:rsidRPr="00DB65DE">
        <w:rPr>
          <w:rFonts w:asciiTheme="majorHAnsi" w:hAnsiTheme="majorHAnsi"/>
          <w:b/>
          <w:bCs/>
          <w:sz w:val="22"/>
          <w:szCs w:val="22"/>
        </w:rPr>
        <w:t>7</w:t>
      </w:r>
      <w:r w:rsidRPr="00DB65DE">
        <w:rPr>
          <w:rFonts w:asciiTheme="majorHAnsi" w:hAnsiTheme="majorHAnsi"/>
          <w:sz w:val="22"/>
          <w:szCs w:val="22"/>
        </w:rPr>
        <w:t>(2): p. 347-355.</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 xml:space="preserve">5. Wyckoff, J.B.P., Sophie E; Gschmeissner, Steve; Condeelis, John S; Sahai, Erik, </w:t>
      </w:r>
      <w:r w:rsidRPr="00DB65DE">
        <w:rPr>
          <w:rFonts w:asciiTheme="majorHAnsi" w:hAnsiTheme="majorHAnsi"/>
          <w:i/>
          <w:iCs/>
          <w:sz w:val="22"/>
          <w:szCs w:val="22"/>
        </w:rPr>
        <w:t>ROCK-and myosin-dependent</w:t>
      </w:r>
      <w:r w:rsidR="00214639">
        <w:rPr>
          <w:rFonts w:asciiTheme="majorHAnsi" w:hAnsiTheme="majorHAnsi"/>
          <w:i/>
          <w:iCs/>
          <w:sz w:val="22"/>
          <w:szCs w:val="22"/>
        </w:rPr>
        <w:t xml:space="preserve"> </w:t>
      </w:r>
      <w:r w:rsidRPr="00DB65DE">
        <w:rPr>
          <w:rFonts w:asciiTheme="majorHAnsi" w:hAnsiTheme="majorHAnsi"/>
          <w:i/>
          <w:iCs/>
          <w:sz w:val="22"/>
          <w:szCs w:val="22"/>
        </w:rPr>
        <w:t xml:space="preserve">matrix deformation enables protease-independent tumor-cell invasion in vivo. </w:t>
      </w:r>
      <w:r w:rsidRPr="00DB65DE">
        <w:rPr>
          <w:rFonts w:asciiTheme="majorHAnsi" w:hAnsiTheme="majorHAnsi"/>
          <w:sz w:val="22"/>
          <w:szCs w:val="22"/>
        </w:rPr>
        <w:t xml:space="preserve">Current Biology, 2006. </w:t>
      </w:r>
      <w:r w:rsidRPr="00DB65DE">
        <w:rPr>
          <w:rFonts w:asciiTheme="majorHAnsi" w:hAnsiTheme="majorHAnsi"/>
          <w:b/>
          <w:bCs/>
          <w:sz w:val="22"/>
          <w:szCs w:val="22"/>
        </w:rPr>
        <w:t>16</w:t>
      </w:r>
      <w:r w:rsidRPr="00DB65DE">
        <w:rPr>
          <w:rFonts w:asciiTheme="majorHAnsi" w:hAnsiTheme="majorHAnsi"/>
          <w:sz w:val="22"/>
          <w:szCs w:val="22"/>
        </w:rPr>
        <w:t>(15): p.</w:t>
      </w:r>
      <w:r w:rsidR="00214639">
        <w:rPr>
          <w:rFonts w:asciiTheme="majorHAnsi" w:hAnsiTheme="majorHAnsi"/>
          <w:sz w:val="22"/>
          <w:szCs w:val="22"/>
        </w:rPr>
        <w:t xml:space="preserve"> </w:t>
      </w:r>
      <w:r w:rsidRPr="00DB65DE">
        <w:rPr>
          <w:rFonts w:asciiTheme="majorHAnsi" w:hAnsiTheme="majorHAnsi"/>
          <w:sz w:val="22"/>
          <w:szCs w:val="22"/>
        </w:rPr>
        <w:t>1515-1523.</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 xml:space="preserve">6. Gardinier, J., et al., </w:t>
      </w:r>
      <w:r w:rsidRPr="00DB65DE">
        <w:rPr>
          <w:rFonts w:asciiTheme="majorHAnsi" w:hAnsiTheme="majorHAnsi"/>
          <w:i/>
          <w:iCs/>
          <w:sz w:val="22"/>
          <w:szCs w:val="22"/>
        </w:rPr>
        <w:t xml:space="preserve">P2Y2 receptors regulate osteoblast mechanosensitivity during fluid flow. </w:t>
      </w:r>
      <w:r w:rsidRPr="00DB65DE">
        <w:rPr>
          <w:rFonts w:asciiTheme="majorHAnsi" w:hAnsiTheme="majorHAnsi"/>
          <w:sz w:val="22"/>
          <w:szCs w:val="22"/>
        </w:rPr>
        <w:t>Am J Physiol Cell</w:t>
      </w:r>
      <w:r w:rsidR="00214639">
        <w:rPr>
          <w:rFonts w:asciiTheme="majorHAnsi" w:hAnsiTheme="majorHAnsi"/>
          <w:sz w:val="22"/>
          <w:szCs w:val="22"/>
        </w:rPr>
        <w:t xml:space="preserve"> </w:t>
      </w:r>
      <w:r w:rsidRPr="00DB65DE">
        <w:rPr>
          <w:rFonts w:asciiTheme="majorHAnsi" w:hAnsiTheme="majorHAnsi"/>
          <w:sz w:val="22"/>
          <w:szCs w:val="22"/>
        </w:rPr>
        <w:t xml:space="preserve">Physiol, 2014. </w:t>
      </w:r>
      <w:r w:rsidRPr="00DB65DE">
        <w:rPr>
          <w:rFonts w:asciiTheme="majorHAnsi" w:hAnsiTheme="majorHAnsi"/>
          <w:b/>
          <w:bCs/>
          <w:sz w:val="22"/>
          <w:szCs w:val="22"/>
        </w:rPr>
        <w:t>306</w:t>
      </w:r>
      <w:r w:rsidRPr="00DB65DE">
        <w:rPr>
          <w:rFonts w:asciiTheme="majorHAnsi" w:hAnsiTheme="majorHAnsi"/>
          <w:sz w:val="22"/>
          <w:szCs w:val="22"/>
        </w:rPr>
        <w:t>(11): p. C1058-67.</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 xml:space="preserve">7. Klein-Nulend, J., et al., </w:t>
      </w:r>
      <w:r w:rsidRPr="00DB65DE">
        <w:rPr>
          <w:rFonts w:asciiTheme="majorHAnsi" w:hAnsiTheme="majorHAnsi"/>
          <w:i/>
          <w:iCs/>
          <w:sz w:val="22"/>
          <w:szCs w:val="22"/>
        </w:rPr>
        <w:t xml:space="preserve">Donor age and mechanosensitivity of human bone cells. </w:t>
      </w:r>
      <w:r w:rsidRPr="00DB65DE">
        <w:rPr>
          <w:rFonts w:asciiTheme="majorHAnsi" w:hAnsiTheme="majorHAnsi"/>
          <w:sz w:val="22"/>
          <w:szCs w:val="22"/>
        </w:rPr>
        <w:t xml:space="preserve">Osteoporos Int, 2002. </w:t>
      </w:r>
      <w:r w:rsidRPr="00DB65DE">
        <w:rPr>
          <w:rFonts w:asciiTheme="majorHAnsi" w:hAnsiTheme="majorHAnsi"/>
          <w:b/>
          <w:bCs/>
          <w:sz w:val="22"/>
          <w:szCs w:val="22"/>
        </w:rPr>
        <w:t>13</w:t>
      </w:r>
      <w:r w:rsidRPr="00DB65DE">
        <w:rPr>
          <w:rFonts w:asciiTheme="majorHAnsi" w:hAnsiTheme="majorHAnsi"/>
          <w:sz w:val="22"/>
          <w:szCs w:val="22"/>
        </w:rPr>
        <w:t>(2): p.</w:t>
      </w:r>
      <w:r w:rsidR="00214639">
        <w:rPr>
          <w:rFonts w:asciiTheme="majorHAnsi" w:hAnsiTheme="majorHAnsi"/>
          <w:sz w:val="22"/>
          <w:szCs w:val="22"/>
        </w:rPr>
        <w:t xml:space="preserve"> </w:t>
      </w:r>
      <w:r w:rsidRPr="00DB65DE">
        <w:rPr>
          <w:rFonts w:asciiTheme="majorHAnsi" w:hAnsiTheme="majorHAnsi"/>
          <w:sz w:val="22"/>
          <w:szCs w:val="22"/>
        </w:rPr>
        <w:t>137-46.</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 xml:space="preserve">8. Kazmers, N.H., et al., </w:t>
      </w:r>
      <w:r w:rsidRPr="00DB65DE">
        <w:rPr>
          <w:rFonts w:asciiTheme="majorHAnsi" w:hAnsiTheme="majorHAnsi"/>
          <w:i/>
          <w:iCs/>
          <w:sz w:val="22"/>
          <w:szCs w:val="22"/>
        </w:rPr>
        <w:t>Rho GTPase signaling and PTH 3–34, but not PTH 1–34, maintain the actin cytoskeleton and</w:t>
      </w:r>
      <w:r w:rsidR="00214639">
        <w:rPr>
          <w:rFonts w:asciiTheme="majorHAnsi" w:hAnsiTheme="majorHAnsi"/>
          <w:i/>
          <w:iCs/>
          <w:sz w:val="22"/>
          <w:szCs w:val="22"/>
        </w:rPr>
        <w:t xml:space="preserve"> </w:t>
      </w:r>
      <w:r w:rsidRPr="00DB65DE">
        <w:rPr>
          <w:rFonts w:asciiTheme="majorHAnsi" w:hAnsiTheme="majorHAnsi"/>
          <w:i/>
          <w:iCs/>
          <w:sz w:val="22"/>
          <w:szCs w:val="22"/>
        </w:rPr>
        <w:t xml:space="preserve">antagonize bisphosphonate effects in mouse osteoblastic MC3T3-E1 cells. </w:t>
      </w:r>
      <w:r w:rsidRPr="00DB65DE">
        <w:rPr>
          <w:rFonts w:asciiTheme="majorHAnsi" w:hAnsiTheme="majorHAnsi"/>
          <w:sz w:val="22"/>
          <w:szCs w:val="22"/>
        </w:rPr>
        <w:t xml:space="preserve">Bone, 2009. </w:t>
      </w:r>
      <w:r w:rsidRPr="00DB65DE">
        <w:rPr>
          <w:rFonts w:asciiTheme="majorHAnsi" w:hAnsiTheme="majorHAnsi"/>
          <w:b/>
          <w:bCs/>
          <w:sz w:val="22"/>
          <w:szCs w:val="22"/>
        </w:rPr>
        <w:t>45</w:t>
      </w:r>
      <w:r w:rsidRPr="00DB65DE">
        <w:rPr>
          <w:rFonts w:asciiTheme="majorHAnsi" w:hAnsiTheme="majorHAnsi"/>
          <w:sz w:val="22"/>
          <w:szCs w:val="22"/>
        </w:rPr>
        <w:t>(1): p. 52-60.</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 xml:space="preserve">9. Street, C.A., et al., </w:t>
      </w:r>
      <w:r w:rsidRPr="00DB65DE">
        <w:rPr>
          <w:rFonts w:asciiTheme="majorHAnsi" w:hAnsiTheme="majorHAnsi"/>
          <w:i/>
          <w:iCs/>
          <w:sz w:val="22"/>
          <w:szCs w:val="22"/>
        </w:rPr>
        <w:t>Pharmacological inhibition of Rho-kinase (ROCK) signaling enhances cisplatin resistance in</w:t>
      </w:r>
      <w:r w:rsidR="00214639">
        <w:rPr>
          <w:rFonts w:asciiTheme="majorHAnsi" w:hAnsiTheme="majorHAnsi"/>
          <w:i/>
          <w:iCs/>
          <w:sz w:val="22"/>
          <w:szCs w:val="22"/>
        </w:rPr>
        <w:t xml:space="preserve"> </w:t>
      </w:r>
      <w:r w:rsidRPr="00DB65DE">
        <w:rPr>
          <w:rFonts w:asciiTheme="majorHAnsi" w:hAnsiTheme="majorHAnsi"/>
          <w:i/>
          <w:iCs/>
          <w:sz w:val="22"/>
          <w:szCs w:val="22"/>
        </w:rPr>
        <w:t xml:space="preserve">neuroblastoma cells. </w:t>
      </w:r>
      <w:r w:rsidRPr="00DB65DE">
        <w:rPr>
          <w:rFonts w:asciiTheme="majorHAnsi" w:hAnsiTheme="majorHAnsi"/>
          <w:sz w:val="22"/>
          <w:szCs w:val="22"/>
        </w:rPr>
        <w:t xml:space="preserve">International journal of oncology, 2010. </w:t>
      </w:r>
      <w:r w:rsidRPr="00DB65DE">
        <w:rPr>
          <w:rFonts w:asciiTheme="majorHAnsi" w:hAnsiTheme="majorHAnsi"/>
          <w:b/>
          <w:bCs/>
          <w:sz w:val="22"/>
          <w:szCs w:val="22"/>
        </w:rPr>
        <w:t>37</w:t>
      </w:r>
      <w:r w:rsidRPr="00DB65DE">
        <w:rPr>
          <w:rFonts w:asciiTheme="majorHAnsi" w:hAnsiTheme="majorHAnsi"/>
          <w:sz w:val="22"/>
          <w:szCs w:val="22"/>
        </w:rPr>
        <w:t>(5): p. 1297-1305.</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 xml:space="preserve">10. Arnsdorf, E.J.T., Padmaja; Kwon, Ronald Y; Jacobs, Christopher R, </w:t>
      </w:r>
      <w:r w:rsidRPr="00DB65DE">
        <w:rPr>
          <w:rFonts w:asciiTheme="majorHAnsi" w:hAnsiTheme="majorHAnsi"/>
          <w:i/>
          <w:iCs/>
          <w:sz w:val="22"/>
          <w:szCs w:val="22"/>
        </w:rPr>
        <w:t>Mechanically induced osteogenic</w:t>
      </w:r>
      <w:r w:rsidR="00214639">
        <w:rPr>
          <w:rFonts w:asciiTheme="majorHAnsi" w:hAnsiTheme="majorHAnsi"/>
          <w:i/>
          <w:iCs/>
          <w:sz w:val="22"/>
          <w:szCs w:val="22"/>
        </w:rPr>
        <w:t xml:space="preserve"> </w:t>
      </w:r>
      <w:r w:rsidRPr="00DB65DE">
        <w:rPr>
          <w:rFonts w:asciiTheme="majorHAnsi" w:hAnsiTheme="majorHAnsi"/>
          <w:i/>
          <w:iCs/>
          <w:sz w:val="22"/>
          <w:szCs w:val="22"/>
        </w:rPr>
        <w:t xml:space="preserve">differentiation–the role of RhoA, ROCKII and cytoskeletal dynamics. </w:t>
      </w:r>
      <w:r w:rsidRPr="00DB65DE">
        <w:rPr>
          <w:rFonts w:asciiTheme="majorHAnsi" w:hAnsiTheme="majorHAnsi"/>
          <w:sz w:val="22"/>
          <w:szCs w:val="22"/>
        </w:rPr>
        <w:t xml:space="preserve">Journal of cell science, 2009. </w:t>
      </w:r>
      <w:r w:rsidRPr="00DB65DE">
        <w:rPr>
          <w:rFonts w:asciiTheme="majorHAnsi" w:hAnsiTheme="majorHAnsi"/>
          <w:b/>
          <w:bCs/>
          <w:sz w:val="22"/>
          <w:szCs w:val="22"/>
        </w:rPr>
        <w:t>122</w:t>
      </w:r>
      <w:r w:rsidRPr="00DB65DE">
        <w:rPr>
          <w:rFonts w:asciiTheme="majorHAnsi" w:hAnsiTheme="majorHAnsi"/>
          <w:sz w:val="22"/>
          <w:szCs w:val="22"/>
        </w:rPr>
        <w:t>(4): p. 546-553.</w:t>
      </w:r>
    </w:p>
    <w:p w:rsidR="00DB65DE" w:rsidRPr="00DB65DE" w:rsidRDefault="00DB65DE" w:rsidP="00DB65DE">
      <w:pPr>
        <w:rPr>
          <w:rFonts w:asciiTheme="majorHAnsi" w:hAnsiTheme="majorHAnsi"/>
          <w:sz w:val="22"/>
          <w:szCs w:val="22"/>
        </w:rPr>
      </w:pPr>
      <w:r w:rsidRPr="00DB65DE">
        <w:rPr>
          <w:rFonts w:asciiTheme="majorHAnsi" w:hAnsiTheme="majorHAnsi"/>
          <w:sz w:val="22"/>
          <w:szCs w:val="22"/>
        </w:rPr>
        <w:t xml:space="preserve">11. Haugh, M.G., T.J. Vaughan, and L.M. McNamara, </w:t>
      </w:r>
      <w:r w:rsidRPr="00DB65DE">
        <w:rPr>
          <w:rFonts w:asciiTheme="majorHAnsi" w:hAnsiTheme="majorHAnsi"/>
          <w:i/>
          <w:iCs/>
          <w:sz w:val="22"/>
          <w:szCs w:val="22"/>
        </w:rPr>
        <w:t>The role of integrin α V β 3 in osteocyte mechanotransduction.</w:t>
      </w:r>
      <w:r w:rsidR="00214639">
        <w:rPr>
          <w:rFonts w:asciiTheme="majorHAnsi" w:hAnsiTheme="majorHAnsi"/>
          <w:i/>
          <w:iCs/>
          <w:sz w:val="22"/>
          <w:szCs w:val="22"/>
        </w:rPr>
        <w:t xml:space="preserve"> </w:t>
      </w:r>
      <w:r w:rsidRPr="00DB65DE">
        <w:rPr>
          <w:rFonts w:asciiTheme="majorHAnsi" w:hAnsiTheme="majorHAnsi"/>
          <w:sz w:val="22"/>
          <w:szCs w:val="22"/>
        </w:rPr>
        <w:t xml:space="preserve">Journal of the mechanical behavior of biomedical materials, 2015. </w:t>
      </w:r>
      <w:r w:rsidRPr="00DB65DE">
        <w:rPr>
          <w:rFonts w:asciiTheme="majorHAnsi" w:hAnsiTheme="majorHAnsi"/>
          <w:b/>
          <w:bCs/>
          <w:sz w:val="22"/>
          <w:szCs w:val="22"/>
        </w:rPr>
        <w:t>42</w:t>
      </w:r>
      <w:r w:rsidRPr="00DB65DE">
        <w:rPr>
          <w:rFonts w:asciiTheme="majorHAnsi" w:hAnsiTheme="majorHAnsi"/>
          <w:sz w:val="22"/>
          <w:szCs w:val="22"/>
        </w:rPr>
        <w:t>: p. 67-75.</w:t>
      </w:r>
    </w:p>
    <w:p w:rsidR="00DB65DE" w:rsidRDefault="00DB65DE" w:rsidP="00DB65DE">
      <w:pPr>
        <w:rPr>
          <w:rFonts w:asciiTheme="majorHAnsi" w:hAnsiTheme="majorHAnsi"/>
          <w:sz w:val="22"/>
          <w:szCs w:val="22"/>
        </w:rPr>
      </w:pPr>
      <w:r w:rsidRPr="00DB65DE">
        <w:rPr>
          <w:rFonts w:asciiTheme="majorHAnsi" w:hAnsiTheme="majorHAnsi"/>
          <w:sz w:val="22"/>
          <w:szCs w:val="22"/>
        </w:rPr>
        <w:t xml:space="preserve">12. Malone, A.M., et al., </w:t>
      </w:r>
      <w:r w:rsidRPr="00DB65DE">
        <w:rPr>
          <w:rFonts w:asciiTheme="majorHAnsi" w:hAnsiTheme="majorHAnsi"/>
          <w:i/>
          <w:iCs/>
          <w:sz w:val="22"/>
          <w:szCs w:val="22"/>
        </w:rPr>
        <w:t>The role of actin cytoskeleton in oscillatory fluid flow-induced signaling in MC3T3-E1</w:t>
      </w:r>
      <w:r w:rsidR="00214639">
        <w:rPr>
          <w:rFonts w:asciiTheme="majorHAnsi" w:hAnsiTheme="majorHAnsi"/>
          <w:i/>
          <w:iCs/>
          <w:sz w:val="22"/>
          <w:szCs w:val="22"/>
        </w:rPr>
        <w:t xml:space="preserve"> </w:t>
      </w:r>
      <w:r w:rsidRPr="00DB65DE">
        <w:rPr>
          <w:rFonts w:asciiTheme="majorHAnsi" w:hAnsiTheme="majorHAnsi"/>
          <w:i/>
          <w:iCs/>
          <w:sz w:val="22"/>
          <w:szCs w:val="22"/>
        </w:rPr>
        <w:t xml:space="preserve">osteoblasts. </w:t>
      </w:r>
      <w:r w:rsidRPr="00DB65DE">
        <w:rPr>
          <w:rFonts w:asciiTheme="majorHAnsi" w:hAnsiTheme="majorHAnsi"/>
          <w:sz w:val="22"/>
          <w:szCs w:val="22"/>
        </w:rPr>
        <w:t>American</w:t>
      </w:r>
      <w:r w:rsidR="00214639">
        <w:rPr>
          <w:rFonts w:asciiTheme="majorHAnsi" w:hAnsiTheme="majorHAnsi"/>
          <w:sz w:val="22"/>
          <w:szCs w:val="22"/>
        </w:rPr>
        <w:t xml:space="preserve"> Journal of Physiology, 2007. </w:t>
      </w:r>
      <w:r w:rsidR="00214639" w:rsidRPr="00D204EC">
        <w:rPr>
          <w:rFonts w:asciiTheme="majorHAnsi" w:hAnsiTheme="majorHAnsi"/>
          <w:b/>
          <w:sz w:val="22"/>
          <w:szCs w:val="22"/>
        </w:rPr>
        <w:t>292</w:t>
      </w:r>
      <w:r w:rsidR="00D204EC" w:rsidRPr="00D204EC">
        <w:rPr>
          <w:rFonts w:asciiTheme="majorHAnsi" w:hAnsiTheme="majorHAnsi"/>
          <w:sz w:val="22"/>
          <w:szCs w:val="22"/>
        </w:rPr>
        <w:t>(5)</w:t>
      </w:r>
      <w:r w:rsidR="00D204EC">
        <w:rPr>
          <w:rFonts w:asciiTheme="majorHAnsi" w:hAnsiTheme="majorHAnsi"/>
          <w:sz w:val="22"/>
          <w:szCs w:val="22"/>
        </w:rPr>
        <w:t>:  p. C1830-C1836.</w:t>
      </w:r>
    </w:p>
    <w:p w:rsidR="00D204EC" w:rsidRDefault="00D204EC" w:rsidP="00DB65DE">
      <w:pPr>
        <w:rPr>
          <w:rFonts w:asciiTheme="majorHAnsi" w:hAnsiTheme="majorHAnsi"/>
          <w:sz w:val="22"/>
          <w:szCs w:val="22"/>
        </w:rPr>
      </w:pPr>
    </w:p>
    <w:p w:rsidR="00274DCF" w:rsidRDefault="00274DCF" w:rsidP="00DB65DE">
      <w:pPr>
        <w:rPr>
          <w:rFonts w:asciiTheme="majorHAnsi" w:hAnsiTheme="majorHAnsi"/>
          <w:sz w:val="22"/>
          <w:szCs w:val="22"/>
        </w:rPr>
      </w:pPr>
    </w:p>
    <w:p w:rsidR="00D204EC" w:rsidRPr="00D204EC" w:rsidRDefault="00D204EC" w:rsidP="00D204EC">
      <w:pPr>
        <w:rPr>
          <w:rFonts w:asciiTheme="majorHAnsi" w:hAnsiTheme="majorHAnsi"/>
          <w:sz w:val="22"/>
          <w:szCs w:val="22"/>
        </w:rPr>
      </w:pPr>
      <w:r w:rsidRPr="00884D34">
        <w:rPr>
          <w:rFonts w:asciiTheme="majorHAnsi" w:hAnsiTheme="majorHAnsi"/>
          <w:b/>
          <w:sz w:val="22"/>
          <w:szCs w:val="22"/>
        </w:rPr>
        <w:t>Mechanobiological Modulation of In Situ and In Vivo Osteocytic Ca2+ Oscillations</w:t>
      </w:r>
      <w:r w:rsidR="00411BCE">
        <w:rPr>
          <w:rFonts w:asciiTheme="majorHAnsi" w:hAnsiTheme="majorHAnsi"/>
          <w:b/>
          <w:sz w:val="22"/>
          <w:szCs w:val="22"/>
        </w:rPr>
        <w:t xml:space="preserve"> </w:t>
      </w:r>
      <w:r w:rsidRPr="00884D34">
        <w:rPr>
          <w:rFonts w:asciiTheme="majorHAnsi" w:hAnsiTheme="majorHAnsi"/>
          <w:b/>
          <w:sz w:val="22"/>
          <w:szCs w:val="22"/>
        </w:rPr>
        <w:t>in Response to Acoustic Radiation Force using Black6 and Ai38/Dmp1-Cre Mice</w:t>
      </w:r>
    </w:p>
    <w:p w:rsidR="00D204EC" w:rsidRPr="00274DCF" w:rsidRDefault="00D204EC" w:rsidP="00D204EC">
      <w:pPr>
        <w:rPr>
          <w:rFonts w:asciiTheme="majorHAnsi" w:hAnsiTheme="majorHAnsi"/>
          <w:i/>
          <w:sz w:val="22"/>
          <w:szCs w:val="22"/>
        </w:rPr>
      </w:pPr>
      <w:r w:rsidRPr="00274DCF">
        <w:rPr>
          <w:rFonts w:asciiTheme="majorHAnsi" w:hAnsiTheme="majorHAnsi"/>
          <w:i/>
          <w:sz w:val="22"/>
          <w:szCs w:val="22"/>
        </w:rPr>
        <w:t>Minyi Hu</w:t>
      </w:r>
      <w:r w:rsidR="002822C7">
        <w:rPr>
          <w:rFonts w:asciiTheme="majorHAnsi" w:hAnsiTheme="majorHAnsi"/>
          <w:i/>
          <w:sz w:val="22"/>
          <w:szCs w:val="22"/>
        </w:rPr>
        <w:t>, PhD</w:t>
      </w:r>
      <w:r w:rsidRPr="00274DCF">
        <w:rPr>
          <w:rFonts w:asciiTheme="majorHAnsi" w:hAnsiTheme="majorHAnsi"/>
          <w:i/>
          <w:sz w:val="22"/>
          <w:szCs w:val="22"/>
          <w:vertAlign w:val="superscript"/>
        </w:rPr>
        <w:t>1</w:t>
      </w:r>
      <w:r w:rsidRPr="00274DCF">
        <w:rPr>
          <w:rFonts w:asciiTheme="majorHAnsi" w:hAnsiTheme="majorHAnsi"/>
          <w:i/>
          <w:sz w:val="22"/>
          <w:szCs w:val="22"/>
        </w:rPr>
        <w:t>, Jian Jiao</w:t>
      </w:r>
      <w:r w:rsidR="002822C7">
        <w:rPr>
          <w:rFonts w:asciiTheme="majorHAnsi" w:hAnsiTheme="majorHAnsi"/>
          <w:i/>
          <w:sz w:val="22"/>
          <w:szCs w:val="22"/>
        </w:rPr>
        <w:t>, MS</w:t>
      </w:r>
      <w:r w:rsidRPr="00274DCF">
        <w:rPr>
          <w:rFonts w:asciiTheme="majorHAnsi" w:hAnsiTheme="majorHAnsi"/>
          <w:i/>
          <w:sz w:val="22"/>
          <w:szCs w:val="22"/>
          <w:vertAlign w:val="superscript"/>
        </w:rPr>
        <w:t>1</w:t>
      </w:r>
      <w:r w:rsidRPr="00274DCF">
        <w:rPr>
          <w:rFonts w:asciiTheme="majorHAnsi" w:hAnsiTheme="majorHAnsi"/>
          <w:i/>
          <w:sz w:val="22"/>
          <w:szCs w:val="22"/>
        </w:rPr>
        <w:t>, Daniel Gibbons</w:t>
      </w:r>
      <w:r w:rsidR="002822C7">
        <w:rPr>
          <w:rFonts w:asciiTheme="majorHAnsi" w:hAnsiTheme="majorHAnsi"/>
          <w:i/>
          <w:sz w:val="22"/>
          <w:szCs w:val="22"/>
        </w:rPr>
        <w:t>, BS</w:t>
      </w:r>
      <w:r w:rsidRPr="00274DCF">
        <w:rPr>
          <w:rFonts w:asciiTheme="majorHAnsi" w:hAnsiTheme="majorHAnsi"/>
          <w:i/>
          <w:sz w:val="22"/>
          <w:szCs w:val="22"/>
          <w:vertAlign w:val="superscript"/>
        </w:rPr>
        <w:t>1</w:t>
      </w:r>
      <w:r w:rsidRPr="00274DCF">
        <w:rPr>
          <w:rFonts w:asciiTheme="majorHAnsi" w:hAnsiTheme="majorHAnsi"/>
          <w:i/>
          <w:sz w:val="22"/>
          <w:szCs w:val="22"/>
        </w:rPr>
        <w:t>, Xiaofei Li</w:t>
      </w:r>
      <w:r w:rsidR="002822C7">
        <w:rPr>
          <w:rFonts w:asciiTheme="majorHAnsi" w:hAnsiTheme="majorHAnsi"/>
          <w:i/>
          <w:sz w:val="22"/>
          <w:szCs w:val="22"/>
        </w:rPr>
        <w:t>, MS</w:t>
      </w:r>
      <w:r w:rsidRPr="00274DCF">
        <w:rPr>
          <w:rFonts w:asciiTheme="majorHAnsi" w:hAnsiTheme="majorHAnsi"/>
          <w:i/>
          <w:sz w:val="22"/>
          <w:szCs w:val="22"/>
          <w:vertAlign w:val="superscript"/>
        </w:rPr>
        <w:t>1</w:t>
      </w:r>
      <w:r w:rsidRPr="00274DCF">
        <w:rPr>
          <w:rFonts w:asciiTheme="majorHAnsi" w:hAnsiTheme="majorHAnsi"/>
          <w:i/>
          <w:sz w:val="22"/>
          <w:szCs w:val="22"/>
        </w:rPr>
        <w:t>, Guowei Tian</w:t>
      </w:r>
      <w:r w:rsidR="002822C7">
        <w:rPr>
          <w:rFonts w:asciiTheme="majorHAnsi" w:hAnsiTheme="majorHAnsi"/>
          <w:i/>
          <w:sz w:val="22"/>
          <w:szCs w:val="22"/>
        </w:rPr>
        <w:t>, PhD</w:t>
      </w:r>
      <w:r w:rsidRPr="00274DCF">
        <w:rPr>
          <w:rFonts w:asciiTheme="majorHAnsi" w:hAnsiTheme="majorHAnsi"/>
          <w:i/>
          <w:sz w:val="22"/>
          <w:szCs w:val="22"/>
          <w:vertAlign w:val="superscript"/>
        </w:rPr>
        <w:t>2</w:t>
      </w:r>
      <w:r w:rsidRPr="00274DCF">
        <w:rPr>
          <w:rFonts w:asciiTheme="majorHAnsi" w:hAnsiTheme="majorHAnsi"/>
          <w:i/>
          <w:sz w:val="22"/>
          <w:szCs w:val="22"/>
        </w:rPr>
        <w:t>, Yi-Xian Qin</w:t>
      </w:r>
      <w:r w:rsidR="00B65F35">
        <w:rPr>
          <w:rFonts w:asciiTheme="majorHAnsi" w:hAnsiTheme="majorHAnsi"/>
          <w:i/>
          <w:sz w:val="22"/>
          <w:szCs w:val="22"/>
        </w:rPr>
        <w:t>, PhD</w:t>
      </w:r>
      <w:r w:rsidRPr="00274DCF">
        <w:rPr>
          <w:rFonts w:asciiTheme="majorHAnsi" w:hAnsiTheme="majorHAnsi"/>
          <w:i/>
          <w:sz w:val="22"/>
          <w:szCs w:val="22"/>
          <w:vertAlign w:val="superscript"/>
        </w:rPr>
        <w:t>1</w:t>
      </w:r>
    </w:p>
    <w:p w:rsidR="00D204EC" w:rsidRPr="00274DCF" w:rsidRDefault="00D204EC" w:rsidP="00D204EC">
      <w:pPr>
        <w:rPr>
          <w:rFonts w:asciiTheme="majorHAnsi" w:hAnsiTheme="majorHAnsi"/>
          <w:i/>
          <w:sz w:val="22"/>
          <w:szCs w:val="22"/>
        </w:rPr>
      </w:pPr>
      <w:r w:rsidRPr="00274DCF">
        <w:rPr>
          <w:rFonts w:asciiTheme="majorHAnsi" w:hAnsiTheme="majorHAnsi"/>
          <w:i/>
          <w:sz w:val="22"/>
          <w:szCs w:val="22"/>
          <w:vertAlign w:val="superscript"/>
        </w:rPr>
        <w:t>1</w:t>
      </w:r>
      <w:r w:rsidRPr="00274DCF">
        <w:rPr>
          <w:rFonts w:asciiTheme="majorHAnsi" w:hAnsiTheme="majorHAnsi"/>
          <w:i/>
          <w:sz w:val="22"/>
          <w:szCs w:val="22"/>
        </w:rPr>
        <w:t>Dept of Biomedical Engineering, Stony Brook University, Stony Brook, NY 11794-5281</w:t>
      </w:r>
    </w:p>
    <w:p w:rsidR="00D204EC" w:rsidRPr="00274DCF" w:rsidRDefault="00D204EC" w:rsidP="00D204EC">
      <w:pPr>
        <w:rPr>
          <w:rFonts w:asciiTheme="majorHAnsi" w:hAnsiTheme="majorHAnsi"/>
          <w:i/>
          <w:sz w:val="22"/>
          <w:szCs w:val="22"/>
        </w:rPr>
      </w:pPr>
      <w:r w:rsidRPr="00274DCF">
        <w:rPr>
          <w:rFonts w:asciiTheme="majorHAnsi" w:hAnsiTheme="majorHAnsi"/>
          <w:i/>
          <w:sz w:val="22"/>
          <w:szCs w:val="22"/>
          <w:vertAlign w:val="superscript"/>
        </w:rPr>
        <w:t>2</w:t>
      </w:r>
      <w:r w:rsidRPr="00274DCF">
        <w:rPr>
          <w:rFonts w:asciiTheme="majorHAnsi" w:hAnsiTheme="majorHAnsi"/>
          <w:i/>
          <w:sz w:val="22"/>
          <w:szCs w:val="22"/>
        </w:rPr>
        <w:t>CMIC-Two Photon Imaging Center, Stony Brook University, Stony Brook, NY 11794-5200</w:t>
      </w:r>
    </w:p>
    <w:p w:rsidR="000D064E" w:rsidRPr="00D204EC" w:rsidRDefault="000D064E" w:rsidP="00D204EC">
      <w:pPr>
        <w:rPr>
          <w:rFonts w:asciiTheme="majorHAnsi" w:hAnsiTheme="majorHAnsi"/>
          <w:sz w:val="22"/>
          <w:szCs w:val="22"/>
        </w:rPr>
      </w:pPr>
    </w:p>
    <w:p w:rsidR="00D204EC" w:rsidRPr="00D204EC" w:rsidRDefault="00D204EC" w:rsidP="00D204EC">
      <w:pPr>
        <w:rPr>
          <w:rFonts w:asciiTheme="majorHAnsi" w:hAnsiTheme="majorHAnsi"/>
          <w:sz w:val="22"/>
          <w:szCs w:val="22"/>
        </w:rPr>
      </w:pPr>
      <w:r w:rsidRPr="00D204EC">
        <w:rPr>
          <w:rFonts w:asciiTheme="majorHAnsi" w:hAnsiTheme="majorHAnsi"/>
          <w:sz w:val="22"/>
          <w:szCs w:val="22"/>
        </w:rPr>
        <w:t>Clinical evidence has pointed the critical mechanotransduction in bone</w:t>
      </w:r>
      <w:r w:rsidR="000D064E">
        <w:rPr>
          <w:rFonts w:asciiTheme="majorHAnsi" w:hAnsiTheme="majorHAnsi"/>
          <w:sz w:val="22"/>
          <w:szCs w:val="22"/>
        </w:rPr>
        <w:t xml:space="preserve"> </w:t>
      </w:r>
      <w:r w:rsidRPr="00D204EC">
        <w:rPr>
          <w:rFonts w:asciiTheme="majorHAnsi" w:hAnsiTheme="majorHAnsi"/>
          <w:sz w:val="22"/>
          <w:szCs w:val="22"/>
        </w:rPr>
        <w:t>remodeling/regeneration. While the biological effect of ultrasound on bone healing has</w:t>
      </w:r>
      <w:r w:rsidR="000D064E">
        <w:rPr>
          <w:rFonts w:asciiTheme="majorHAnsi" w:hAnsiTheme="majorHAnsi"/>
          <w:sz w:val="22"/>
          <w:szCs w:val="22"/>
        </w:rPr>
        <w:t xml:space="preserve"> </w:t>
      </w:r>
      <w:r w:rsidRPr="00D204EC">
        <w:rPr>
          <w:rFonts w:asciiTheme="majorHAnsi" w:hAnsiTheme="majorHAnsi"/>
          <w:sz w:val="22"/>
          <w:szCs w:val="22"/>
        </w:rPr>
        <w:t>been well documented, the underlying mechanism is largely unknown. Our group</w:t>
      </w:r>
      <w:r w:rsidR="000D064E">
        <w:rPr>
          <w:rFonts w:asciiTheme="majorHAnsi" w:hAnsiTheme="majorHAnsi"/>
          <w:sz w:val="22"/>
          <w:szCs w:val="22"/>
        </w:rPr>
        <w:t xml:space="preserve"> </w:t>
      </w:r>
      <w:r w:rsidRPr="00D204EC">
        <w:rPr>
          <w:rFonts w:asciiTheme="majorHAnsi" w:hAnsiTheme="majorHAnsi"/>
          <w:sz w:val="22"/>
          <w:szCs w:val="22"/>
        </w:rPr>
        <w:t>elucidated the mechanobiological modulation of cytoskeleton and Ca</w:t>
      </w:r>
      <w:r w:rsidRPr="000D064E">
        <w:rPr>
          <w:rFonts w:asciiTheme="majorHAnsi" w:hAnsiTheme="majorHAnsi"/>
          <w:sz w:val="22"/>
          <w:szCs w:val="22"/>
          <w:vertAlign w:val="superscript"/>
        </w:rPr>
        <w:t>2+</w:t>
      </w:r>
      <w:r w:rsidRPr="00D204EC">
        <w:rPr>
          <w:rFonts w:asciiTheme="majorHAnsi" w:hAnsiTheme="majorHAnsi"/>
          <w:sz w:val="22"/>
          <w:szCs w:val="22"/>
        </w:rPr>
        <w:t xml:space="preserve"> influx in in vitro</w:t>
      </w:r>
      <w:r w:rsidR="000D064E">
        <w:rPr>
          <w:rFonts w:asciiTheme="majorHAnsi" w:hAnsiTheme="majorHAnsi"/>
          <w:sz w:val="22"/>
          <w:szCs w:val="22"/>
        </w:rPr>
        <w:t xml:space="preserve"> </w:t>
      </w:r>
      <w:r w:rsidRPr="00D204EC">
        <w:rPr>
          <w:rFonts w:asciiTheme="majorHAnsi" w:hAnsiTheme="majorHAnsi"/>
          <w:sz w:val="22"/>
          <w:szCs w:val="22"/>
        </w:rPr>
        <w:t>osteoblastic cells by short-term focused acoustic radiation force. In greater relation to</w:t>
      </w:r>
      <w:r w:rsidR="000D064E">
        <w:rPr>
          <w:rFonts w:asciiTheme="majorHAnsi" w:hAnsiTheme="majorHAnsi"/>
          <w:sz w:val="22"/>
          <w:szCs w:val="22"/>
        </w:rPr>
        <w:t xml:space="preserve"> </w:t>
      </w:r>
      <w:r w:rsidRPr="00D204EC">
        <w:rPr>
          <w:rFonts w:asciiTheme="majorHAnsi" w:hAnsiTheme="majorHAnsi"/>
          <w:sz w:val="22"/>
          <w:szCs w:val="22"/>
        </w:rPr>
        <w:t>the physiological setting by solving the limitation of disconnected blood circulation, the</w:t>
      </w:r>
      <w:r w:rsidR="000D064E">
        <w:rPr>
          <w:rFonts w:asciiTheme="majorHAnsi" w:hAnsiTheme="majorHAnsi"/>
          <w:sz w:val="22"/>
          <w:szCs w:val="22"/>
        </w:rPr>
        <w:t xml:space="preserve"> </w:t>
      </w:r>
      <w:r w:rsidRPr="00D204EC">
        <w:rPr>
          <w:rFonts w:asciiTheme="majorHAnsi" w:hAnsiTheme="majorHAnsi"/>
          <w:sz w:val="22"/>
          <w:szCs w:val="22"/>
        </w:rPr>
        <w:t>current study aimed to visualize and quantify Ca</w:t>
      </w:r>
      <w:r w:rsidRPr="000D064E">
        <w:rPr>
          <w:rFonts w:asciiTheme="majorHAnsi" w:hAnsiTheme="majorHAnsi"/>
          <w:sz w:val="22"/>
          <w:szCs w:val="22"/>
          <w:vertAlign w:val="superscript"/>
        </w:rPr>
        <w:t>2+</w:t>
      </w:r>
      <w:r w:rsidRPr="00D204EC">
        <w:rPr>
          <w:rFonts w:asciiTheme="majorHAnsi" w:hAnsiTheme="majorHAnsi"/>
          <w:sz w:val="22"/>
          <w:szCs w:val="22"/>
        </w:rPr>
        <w:t xml:space="preserve"> oscillations of real-time in situ and in</w:t>
      </w:r>
      <w:r w:rsidR="000D064E">
        <w:rPr>
          <w:rFonts w:asciiTheme="majorHAnsi" w:hAnsiTheme="majorHAnsi"/>
          <w:sz w:val="22"/>
          <w:szCs w:val="22"/>
        </w:rPr>
        <w:t xml:space="preserve"> </w:t>
      </w:r>
      <w:r w:rsidRPr="00D204EC">
        <w:rPr>
          <w:rFonts w:asciiTheme="majorHAnsi" w:hAnsiTheme="majorHAnsi"/>
          <w:sz w:val="22"/>
          <w:szCs w:val="22"/>
        </w:rPr>
        <w:t>vivo osteocytes in response to medium intensity focused ultrasound (MIFU). For in situ</w:t>
      </w:r>
      <w:r w:rsidR="000D064E">
        <w:rPr>
          <w:rFonts w:asciiTheme="majorHAnsi" w:hAnsiTheme="majorHAnsi"/>
          <w:sz w:val="22"/>
          <w:szCs w:val="22"/>
        </w:rPr>
        <w:t xml:space="preserve"> </w:t>
      </w:r>
      <w:r w:rsidRPr="00D204EC">
        <w:rPr>
          <w:rFonts w:asciiTheme="majorHAnsi" w:hAnsiTheme="majorHAnsi"/>
          <w:sz w:val="22"/>
          <w:szCs w:val="22"/>
        </w:rPr>
        <w:t>study, 3-month-old Black6 mice were used to obtain fresh calvarias. The samples were</w:t>
      </w:r>
      <w:r w:rsidR="000D064E">
        <w:rPr>
          <w:rFonts w:asciiTheme="majorHAnsi" w:hAnsiTheme="majorHAnsi"/>
          <w:sz w:val="22"/>
          <w:szCs w:val="22"/>
        </w:rPr>
        <w:t xml:space="preserve"> </w:t>
      </w:r>
      <w:r w:rsidRPr="00D204EC">
        <w:rPr>
          <w:rFonts w:asciiTheme="majorHAnsi" w:hAnsiTheme="majorHAnsi"/>
          <w:sz w:val="22"/>
          <w:szCs w:val="22"/>
        </w:rPr>
        <w:t>stained in Fluo-8 AM for Ca</w:t>
      </w:r>
      <w:r w:rsidRPr="000D064E">
        <w:rPr>
          <w:rFonts w:asciiTheme="majorHAnsi" w:hAnsiTheme="majorHAnsi"/>
          <w:sz w:val="22"/>
          <w:szCs w:val="22"/>
          <w:vertAlign w:val="superscript"/>
        </w:rPr>
        <w:t>2+</w:t>
      </w:r>
      <w:r w:rsidRPr="00D204EC">
        <w:rPr>
          <w:rFonts w:asciiTheme="majorHAnsi" w:hAnsiTheme="majorHAnsi"/>
          <w:sz w:val="22"/>
          <w:szCs w:val="22"/>
        </w:rPr>
        <w:t xml:space="preserve"> fluorescent label and subjected to MIFU stimulation for</w:t>
      </w:r>
      <w:r w:rsidR="000D064E">
        <w:rPr>
          <w:rFonts w:asciiTheme="majorHAnsi" w:hAnsiTheme="majorHAnsi"/>
          <w:sz w:val="22"/>
          <w:szCs w:val="22"/>
        </w:rPr>
        <w:t xml:space="preserve"> </w:t>
      </w:r>
      <w:r w:rsidRPr="00D204EC">
        <w:rPr>
          <w:rFonts w:asciiTheme="majorHAnsi" w:hAnsiTheme="majorHAnsi"/>
          <w:sz w:val="22"/>
          <w:szCs w:val="22"/>
        </w:rPr>
        <w:t>30sec: 0.05, 0.2, 0.3, 0.5, and 0.7W (Fig1). For in vivo study, Ai38/Dmp1-cre mice that</w:t>
      </w:r>
      <w:r w:rsidR="000D064E">
        <w:rPr>
          <w:rFonts w:asciiTheme="majorHAnsi" w:hAnsiTheme="majorHAnsi"/>
          <w:sz w:val="22"/>
          <w:szCs w:val="22"/>
        </w:rPr>
        <w:t xml:space="preserve"> </w:t>
      </w:r>
      <w:r w:rsidRPr="00D204EC">
        <w:rPr>
          <w:rFonts w:asciiTheme="majorHAnsi" w:hAnsiTheme="majorHAnsi"/>
          <w:sz w:val="22"/>
          <w:szCs w:val="22"/>
        </w:rPr>
        <w:t>express the Ca</w:t>
      </w:r>
      <w:r w:rsidRPr="000D064E">
        <w:rPr>
          <w:rFonts w:asciiTheme="majorHAnsi" w:hAnsiTheme="majorHAnsi"/>
          <w:sz w:val="22"/>
          <w:szCs w:val="22"/>
          <w:vertAlign w:val="superscript"/>
        </w:rPr>
        <w:t>2+</w:t>
      </w:r>
      <w:r w:rsidRPr="00D204EC">
        <w:rPr>
          <w:rFonts w:asciiTheme="majorHAnsi" w:hAnsiTheme="majorHAnsi"/>
          <w:sz w:val="22"/>
          <w:szCs w:val="22"/>
        </w:rPr>
        <w:t xml:space="preserve"> indicator protein in bone cells (EGFP fluorescent GCaMP3) were</w:t>
      </w:r>
      <w:r w:rsidR="000D064E">
        <w:rPr>
          <w:rFonts w:asciiTheme="majorHAnsi" w:hAnsiTheme="majorHAnsi"/>
          <w:sz w:val="22"/>
          <w:szCs w:val="22"/>
        </w:rPr>
        <w:t xml:space="preserve"> </w:t>
      </w:r>
      <w:r w:rsidRPr="00D204EC">
        <w:rPr>
          <w:rFonts w:asciiTheme="majorHAnsi" w:hAnsiTheme="majorHAnsi"/>
          <w:sz w:val="22"/>
          <w:szCs w:val="22"/>
        </w:rPr>
        <w:t>under isoflurane anesthesia; the top skin of the head was cut opened, gently exposing</w:t>
      </w:r>
      <w:r w:rsidR="000D064E">
        <w:rPr>
          <w:rFonts w:asciiTheme="majorHAnsi" w:hAnsiTheme="majorHAnsi"/>
          <w:sz w:val="22"/>
          <w:szCs w:val="22"/>
        </w:rPr>
        <w:t xml:space="preserve"> </w:t>
      </w:r>
      <w:r w:rsidRPr="00D204EC">
        <w:rPr>
          <w:rFonts w:asciiTheme="majorHAnsi" w:hAnsiTheme="majorHAnsi"/>
          <w:sz w:val="22"/>
          <w:szCs w:val="22"/>
        </w:rPr>
        <w:t>the calvaria. The animal’s head was stabilized on a custom-made bed, where its chin</w:t>
      </w:r>
      <w:r w:rsidR="000D064E">
        <w:rPr>
          <w:rFonts w:asciiTheme="majorHAnsi" w:hAnsiTheme="majorHAnsi"/>
          <w:sz w:val="22"/>
          <w:szCs w:val="22"/>
        </w:rPr>
        <w:t xml:space="preserve"> </w:t>
      </w:r>
      <w:r w:rsidRPr="00D204EC">
        <w:rPr>
          <w:rFonts w:asciiTheme="majorHAnsi" w:hAnsiTheme="majorHAnsi"/>
          <w:sz w:val="22"/>
          <w:szCs w:val="22"/>
        </w:rPr>
        <w:t>was placed onto the MIFU transducer (Fig2A): 0.2, 0.5 and 1W for 1min. Real-time</w:t>
      </w:r>
      <w:r w:rsidR="000D064E">
        <w:rPr>
          <w:rFonts w:asciiTheme="majorHAnsi" w:hAnsiTheme="majorHAnsi"/>
          <w:sz w:val="22"/>
          <w:szCs w:val="22"/>
        </w:rPr>
        <w:t xml:space="preserve"> </w:t>
      </w:r>
      <w:r w:rsidRPr="00D204EC">
        <w:rPr>
          <w:rFonts w:asciiTheme="majorHAnsi" w:hAnsiTheme="majorHAnsi"/>
          <w:sz w:val="22"/>
          <w:szCs w:val="22"/>
        </w:rPr>
        <w:t>confocal imaging was performed to capture the Ca</w:t>
      </w:r>
      <w:r w:rsidRPr="000D064E">
        <w:rPr>
          <w:rFonts w:asciiTheme="majorHAnsi" w:hAnsiTheme="majorHAnsi"/>
          <w:sz w:val="22"/>
          <w:szCs w:val="22"/>
          <w:vertAlign w:val="superscript"/>
        </w:rPr>
        <w:t>2+</w:t>
      </w:r>
      <w:r w:rsidRPr="00D204EC">
        <w:rPr>
          <w:rFonts w:asciiTheme="majorHAnsi" w:hAnsiTheme="majorHAnsi"/>
          <w:sz w:val="22"/>
          <w:szCs w:val="22"/>
        </w:rPr>
        <w:t xml:space="preserve"> signal in the osteocyte cell bodies</w:t>
      </w:r>
      <w:r w:rsidR="000D064E">
        <w:rPr>
          <w:rFonts w:asciiTheme="majorHAnsi" w:hAnsiTheme="majorHAnsi"/>
          <w:sz w:val="22"/>
          <w:szCs w:val="22"/>
        </w:rPr>
        <w:t xml:space="preserve"> </w:t>
      </w:r>
      <w:r w:rsidRPr="00D204EC">
        <w:rPr>
          <w:rFonts w:asciiTheme="majorHAnsi" w:hAnsiTheme="majorHAnsi"/>
          <w:sz w:val="22"/>
          <w:szCs w:val="22"/>
        </w:rPr>
        <w:t>under MIFU. In situ MIFU at 0.3-0.7W led to significant Ca</w:t>
      </w:r>
      <w:r w:rsidRPr="000D064E">
        <w:rPr>
          <w:rFonts w:asciiTheme="majorHAnsi" w:hAnsiTheme="majorHAnsi"/>
          <w:sz w:val="22"/>
          <w:szCs w:val="22"/>
          <w:vertAlign w:val="superscript"/>
        </w:rPr>
        <w:t>2+</w:t>
      </w:r>
      <w:r w:rsidRPr="00D204EC">
        <w:rPr>
          <w:rFonts w:asciiTheme="majorHAnsi" w:hAnsiTheme="majorHAnsi"/>
          <w:sz w:val="22"/>
          <w:szCs w:val="22"/>
        </w:rPr>
        <w:t xml:space="preserve"> oscillations: 85±16%,</w:t>
      </w:r>
      <w:r w:rsidR="000D064E">
        <w:rPr>
          <w:rFonts w:asciiTheme="majorHAnsi" w:hAnsiTheme="majorHAnsi"/>
          <w:sz w:val="22"/>
          <w:szCs w:val="22"/>
        </w:rPr>
        <w:t xml:space="preserve"> </w:t>
      </w:r>
      <w:r w:rsidRPr="00D204EC">
        <w:rPr>
          <w:rFonts w:asciiTheme="majorHAnsi" w:hAnsiTheme="majorHAnsi"/>
          <w:sz w:val="22"/>
          <w:szCs w:val="22"/>
        </w:rPr>
        <w:t>80±18% and 84±17% (p&lt;0.01 vs. 0.05W; p&lt;0.05 vs. 0.2W) of responded cells,</w:t>
      </w:r>
      <w:r w:rsidR="000D064E">
        <w:rPr>
          <w:rFonts w:asciiTheme="majorHAnsi" w:hAnsiTheme="majorHAnsi"/>
          <w:sz w:val="22"/>
          <w:szCs w:val="22"/>
        </w:rPr>
        <w:t xml:space="preserve"> </w:t>
      </w:r>
      <w:r w:rsidRPr="00D204EC">
        <w:rPr>
          <w:rFonts w:asciiTheme="majorHAnsi" w:hAnsiTheme="majorHAnsi"/>
          <w:sz w:val="22"/>
          <w:szCs w:val="22"/>
        </w:rPr>
        <w:t>respectively (Fig1). MIFU at &gt;0.3W energies led to a higher number of Ca</w:t>
      </w:r>
      <w:r w:rsidRPr="000D064E">
        <w:rPr>
          <w:rFonts w:asciiTheme="majorHAnsi" w:hAnsiTheme="majorHAnsi"/>
          <w:sz w:val="22"/>
          <w:szCs w:val="22"/>
          <w:vertAlign w:val="superscript"/>
        </w:rPr>
        <w:t>2+</w:t>
      </w:r>
      <w:r w:rsidRPr="00D204EC">
        <w:rPr>
          <w:rFonts w:asciiTheme="majorHAnsi" w:hAnsiTheme="majorHAnsi"/>
          <w:sz w:val="22"/>
          <w:szCs w:val="22"/>
        </w:rPr>
        <w:t xml:space="preserve"> spikes and</w:t>
      </w:r>
      <w:r w:rsidR="00C32C32">
        <w:rPr>
          <w:rFonts w:asciiTheme="majorHAnsi" w:hAnsiTheme="majorHAnsi"/>
          <w:sz w:val="22"/>
          <w:szCs w:val="22"/>
        </w:rPr>
        <w:t xml:space="preserve"> </w:t>
      </w:r>
      <w:r w:rsidRPr="00D204EC">
        <w:rPr>
          <w:rFonts w:asciiTheme="majorHAnsi" w:hAnsiTheme="majorHAnsi"/>
          <w:sz w:val="22"/>
          <w:szCs w:val="22"/>
        </w:rPr>
        <w:t>larger spike magnitudes. The initiation time to the first Ca</w:t>
      </w:r>
      <w:r w:rsidRPr="000D064E">
        <w:rPr>
          <w:rFonts w:asciiTheme="majorHAnsi" w:hAnsiTheme="majorHAnsi"/>
          <w:sz w:val="22"/>
          <w:szCs w:val="22"/>
          <w:vertAlign w:val="superscript"/>
        </w:rPr>
        <w:t>2+</w:t>
      </w:r>
      <w:r w:rsidRPr="00D204EC">
        <w:rPr>
          <w:rFonts w:asciiTheme="majorHAnsi" w:hAnsiTheme="majorHAnsi"/>
          <w:sz w:val="22"/>
          <w:szCs w:val="22"/>
        </w:rPr>
        <w:t xml:space="preserve"> spike seemed to be</w:t>
      </w:r>
      <w:r w:rsidR="000D064E">
        <w:rPr>
          <w:rFonts w:asciiTheme="majorHAnsi" w:hAnsiTheme="majorHAnsi"/>
          <w:sz w:val="22"/>
          <w:szCs w:val="22"/>
        </w:rPr>
        <w:t xml:space="preserve"> </w:t>
      </w:r>
      <w:r w:rsidRPr="00D204EC">
        <w:rPr>
          <w:rFonts w:asciiTheme="majorHAnsi" w:hAnsiTheme="majorHAnsi"/>
          <w:sz w:val="22"/>
          <w:szCs w:val="22"/>
        </w:rPr>
        <w:t>relatively the same for all the energies (~18sec). In vivo MIFU at 0.2, 0.5 and 1W led to</w:t>
      </w:r>
      <w:r w:rsidR="000D064E">
        <w:rPr>
          <w:rFonts w:asciiTheme="majorHAnsi" w:hAnsiTheme="majorHAnsi"/>
          <w:sz w:val="22"/>
          <w:szCs w:val="22"/>
        </w:rPr>
        <w:t xml:space="preserve"> </w:t>
      </w:r>
      <w:r w:rsidRPr="00D204EC">
        <w:rPr>
          <w:rFonts w:asciiTheme="majorHAnsi" w:hAnsiTheme="majorHAnsi"/>
          <w:sz w:val="22"/>
          <w:szCs w:val="22"/>
        </w:rPr>
        <w:t>Ca</w:t>
      </w:r>
      <w:r w:rsidRPr="000D064E">
        <w:rPr>
          <w:rFonts w:asciiTheme="majorHAnsi" w:hAnsiTheme="majorHAnsi"/>
          <w:sz w:val="22"/>
          <w:szCs w:val="22"/>
          <w:vertAlign w:val="superscript"/>
        </w:rPr>
        <w:t>2+</w:t>
      </w:r>
      <w:r w:rsidRPr="00D204EC">
        <w:rPr>
          <w:rFonts w:asciiTheme="majorHAnsi" w:hAnsiTheme="majorHAnsi"/>
          <w:sz w:val="22"/>
          <w:szCs w:val="22"/>
        </w:rPr>
        <w:t xml:space="preserve"> oscillations: 90%, 98% (+8% vs. 0.2W) and 100% (+11% vs. 0.2W) of responded</w:t>
      </w:r>
      <w:r w:rsidR="000D064E">
        <w:rPr>
          <w:rFonts w:asciiTheme="majorHAnsi" w:hAnsiTheme="majorHAnsi"/>
          <w:sz w:val="22"/>
          <w:szCs w:val="22"/>
        </w:rPr>
        <w:t xml:space="preserve"> </w:t>
      </w:r>
      <w:r w:rsidRPr="00D204EC">
        <w:rPr>
          <w:rFonts w:asciiTheme="majorHAnsi" w:hAnsiTheme="majorHAnsi"/>
          <w:sz w:val="22"/>
          <w:szCs w:val="22"/>
        </w:rPr>
        <w:t>cells, respectively (Fig2). Higher MIFU energies led to larger Ca</w:t>
      </w:r>
      <w:r w:rsidRPr="000D064E">
        <w:rPr>
          <w:rFonts w:asciiTheme="majorHAnsi" w:hAnsiTheme="majorHAnsi"/>
          <w:sz w:val="22"/>
          <w:szCs w:val="22"/>
          <w:vertAlign w:val="superscript"/>
        </w:rPr>
        <w:t>2+</w:t>
      </w:r>
      <w:r w:rsidRPr="00D204EC">
        <w:rPr>
          <w:rFonts w:asciiTheme="majorHAnsi" w:hAnsiTheme="majorHAnsi"/>
          <w:sz w:val="22"/>
          <w:szCs w:val="22"/>
        </w:rPr>
        <w:t xml:space="preserve"> spike magnitudes and</w:t>
      </w:r>
      <w:r w:rsidR="000D064E">
        <w:rPr>
          <w:rFonts w:asciiTheme="majorHAnsi" w:hAnsiTheme="majorHAnsi"/>
          <w:sz w:val="22"/>
          <w:szCs w:val="22"/>
        </w:rPr>
        <w:t xml:space="preserve"> </w:t>
      </w:r>
      <w:r w:rsidRPr="00D204EC">
        <w:rPr>
          <w:rFonts w:asciiTheme="majorHAnsi" w:hAnsiTheme="majorHAnsi"/>
          <w:sz w:val="22"/>
          <w:szCs w:val="22"/>
        </w:rPr>
        <w:t>longer time to elicit the first spike. MIFU at 0.5 and 1W had 71% and 87% larger Ca</w:t>
      </w:r>
      <w:r w:rsidRPr="000D064E">
        <w:rPr>
          <w:rFonts w:asciiTheme="majorHAnsi" w:hAnsiTheme="majorHAnsi"/>
          <w:sz w:val="22"/>
          <w:szCs w:val="22"/>
          <w:vertAlign w:val="superscript"/>
        </w:rPr>
        <w:t>2+</w:t>
      </w:r>
      <w:r w:rsidR="000D064E">
        <w:rPr>
          <w:rFonts w:asciiTheme="majorHAnsi" w:hAnsiTheme="majorHAnsi"/>
          <w:sz w:val="22"/>
          <w:szCs w:val="22"/>
        </w:rPr>
        <w:t xml:space="preserve"> </w:t>
      </w:r>
      <w:r w:rsidRPr="00D204EC">
        <w:rPr>
          <w:rFonts w:asciiTheme="majorHAnsi" w:hAnsiTheme="majorHAnsi"/>
          <w:sz w:val="22"/>
          <w:szCs w:val="22"/>
        </w:rPr>
        <w:t>spike magnitude, 30% and 54% longer spike initiation time than at 0.2W, as well as</w:t>
      </w:r>
      <w:r w:rsidR="000D064E">
        <w:rPr>
          <w:rFonts w:asciiTheme="majorHAnsi" w:hAnsiTheme="majorHAnsi"/>
          <w:sz w:val="22"/>
          <w:szCs w:val="22"/>
        </w:rPr>
        <w:t xml:space="preserve"> </w:t>
      </w:r>
      <w:r w:rsidRPr="00D204EC">
        <w:rPr>
          <w:rFonts w:asciiTheme="majorHAnsi" w:hAnsiTheme="majorHAnsi"/>
          <w:sz w:val="22"/>
          <w:szCs w:val="22"/>
        </w:rPr>
        <w:t>16% and 20% less Ca</w:t>
      </w:r>
      <w:r w:rsidRPr="000D064E">
        <w:rPr>
          <w:rFonts w:asciiTheme="majorHAnsi" w:hAnsiTheme="majorHAnsi"/>
          <w:sz w:val="22"/>
          <w:szCs w:val="22"/>
          <w:vertAlign w:val="superscript"/>
        </w:rPr>
        <w:t>2+</w:t>
      </w:r>
      <w:r w:rsidRPr="00D204EC">
        <w:rPr>
          <w:rFonts w:asciiTheme="majorHAnsi" w:hAnsiTheme="majorHAnsi"/>
          <w:sz w:val="22"/>
          <w:szCs w:val="22"/>
        </w:rPr>
        <w:t xml:space="preserve"> spikes than at 0.2W, respectively. In conclusion, this study</w:t>
      </w:r>
      <w:r w:rsidR="000D064E">
        <w:rPr>
          <w:rFonts w:asciiTheme="majorHAnsi" w:hAnsiTheme="majorHAnsi"/>
          <w:sz w:val="22"/>
          <w:szCs w:val="22"/>
        </w:rPr>
        <w:t xml:space="preserve"> </w:t>
      </w:r>
      <w:r w:rsidRPr="00D204EC">
        <w:rPr>
          <w:rFonts w:asciiTheme="majorHAnsi" w:hAnsiTheme="majorHAnsi"/>
          <w:sz w:val="22"/>
          <w:szCs w:val="22"/>
        </w:rPr>
        <w:t>provided a pilot observation of in situ and in vivo osteocytic Ca</w:t>
      </w:r>
      <w:r w:rsidRPr="000D064E">
        <w:rPr>
          <w:rFonts w:asciiTheme="majorHAnsi" w:hAnsiTheme="majorHAnsi"/>
          <w:sz w:val="22"/>
          <w:szCs w:val="22"/>
          <w:vertAlign w:val="superscript"/>
        </w:rPr>
        <w:t>2+</w:t>
      </w:r>
      <w:r w:rsidRPr="00D204EC">
        <w:rPr>
          <w:rFonts w:asciiTheme="majorHAnsi" w:hAnsiTheme="majorHAnsi"/>
          <w:sz w:val="22"/>
          <w:szCs w:val="22"/>
        </w:rPr>
        <w:t xml:space="preserve"> oscillations under</w:t>
      </w:r>
      <w:r w:rsidR="000D064E">
        <w:rPr>
          <w:rFonts w:asciiTheme="majorHAnsi" w:hAnsiTheme="majorHAnsi"/>
          <w:sz w:val="22"/>
          <w:szCs w:val="22"/>
        </w:rPr>
        <w:t xml:space="preserve"> </w:t>
      </w:r>
      <w:r w:rsidRPr="00D204EC">
        <w:rPr>
          <w:rFonts w:asciiTheme="majorHAnsi" w:hAnsiTheme="majorHAnsi"/>
          <w:sz w:val="22"/>
          <w:szCs w:val="22"/>
        </w:rPr>
        <w:t>noninvasive acoustic radiation force, which aids further exploration of the</w:t>
      </w:r>
    </w:p>
    <w:p w:rsidR="00D204EC" w:rsidRDefault="00D204EC" w:rsidP="00D204EC">
      <w:pPr>
        <w:rPr>
          <w:rFonts w:asciiTheme="majorHAnsi" w:hAnsiTheme="majorHAnsi"/>
          <w:sz w:val="22"/>
          <w:szCs w:val="22"/>
        </w:rPr>
      </w:pPr>
      <w:r w:rsidRPr="00D204EC">
        <w:rPr>
          <w:rFonts w:asciiTheme="majorHAnsi" w:hAnsiTheme="majorHAnsi"/>
          <w:sz w:val="22"/>
          <w:szCs w:val="22"/>
        </w:rPr>
        <w:t>mechanosensing mechanism of controlled bone cell motility response to fluid flow</w:t>
      </w:r>
      <w:r w:rsidR="00563E12">
        <w:rPr>
          <w:rFonts w:asciiTheme="majorHAnsi" w:hAnsiTheme="majorHAnsi"/>
          <w:sz w:val="22"/>
          <w:szCs w:val="22"/>
        </w:rPr>
        <w:t xml:space="preserve"> </w:t>
      </w:r>
      <w:r w:rsidRPr="00D204EC">
        <w:rPr>
          <w:rFonts w:asciiTheme="majorHAnsi" w:hAnsiTheme="majorHAnsi"/>
          <w:sz w:val="22"/>
          <w:szCs w:val="22"/>
        </w:rPr>
        <w:t>loading.</w:t>
      </w:r>
    </w:p>
    <w:p w:rsidR="000D064E" w:rsidRDefault="000D064E" w:rsidP="00D204EC">
      <w:pPr>
        <w:rPr>
          <w:rFonts w:asciiTheme="majorHAnsi" w:hAnsiTheme="majorHAnsi"/>
          <w:sz w:val="22"/>
          <w:szCs w:val="22"/>
        </w:rPr>
      </w:pPr>
    </w:p>
    <w:p w:rsidR="000D064E" w:rsidRDefault="000D064E" w:rsidP="00D204EC">
      <w:pPr>
        <w:rPr>
          <w:rFonts w:asciiTheme="majorHAnsi" w:hAnsiTheme="majorHAnsi"/>
          <w:sz w:val="22"/>
          <w:szCs w:val="22"/>
        </w:rPr>
      </w:pPr>
    </w:p>
    <w:p w:rsidR="000D064E" w:rsidRDefault="000D064E" w:rsidP="00D204EC">
      <w:pPr>
        <w:rPr>
          <w:rFonts w:asciiTheme="majorHAnsi" w:hAnsiTheme="majorHAnsi"/>
          <w:sz w:val="22"/>
          <w:szCs w:val="22"/>
        </w:rPr>
      </w:pPr>
      <w:r w:rsidRPr="000D064E">
        <w:rPr>
          <w:rFonts w:asciiTheme="majorHAnsi" w:hAnsiTheme="majorHAnsi"/>
          <w:noProof/>
          <w:sz w:val="22"/>
          <w:szCs w:val="22"/>
          <w:lang w:eastAsia="en-US"/>
        </w:rPr>
        <w:drawing>
          <wp:inline distT="0" distB="0" distL="0" distR="0">
            <wp:extent cx="5876925" cy="62346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9044" cy="6236899"/>
                    </a:xfrm>
                    <a:prstGeom prst="rect">
                      <a:avLst/>
                    </a:prstGeom>
                    <a:noFill/>
                    <a:ln>
                      <a:noFill/>
                    </a:ln>
                  </pic:spPr>
                </pic:pic>
              </a:graphicData>
            </a:graphic>
          </wp:inline>
        </w:drawing>
      </w:r>
    </w:p>
    <w:p w:rsidR="000D064E" w:rsidRDefault="000D064E" w:rsidP="00D204EC">
      <w:pPr>
        <w:rPr>
          <w:rFonts w:asciiTheme="majorHAnsi" w:hAnsiTheme="majorHAnsi"/>
          <w:sz w:val="22"/>
          <w:szCs w:val="22"/>
        </w:rPr>
      </w:pPr>
    </w:p>
    <w:p w:rsidR="000D064E" w:rsidRDefault="000D064E" w:rsidP="000D064E">
      <w:pPr>
        <w:autoSpaceDE w:val="0"/>
        <w:autoSpaceDN w:val="0"/>
        <w:adjustRightInd w:val="0"/>
        <w:rPr>
          <w:rFonts w:asciiTheme="majorHAnsi" w:eastAsiaTheme="minorHAnsi" w:hAnsiTheme="majorHAnsi" w:cs="ArialMT"/>
          <w:sz w:val="22"/>
          <w:szCs w:val="22"/>
          <w:lang w:eastAsia="en-US"/>
        </w:rPr>
      </w:pPr>
      <w:r w:rsidRPr="000D064E">
        <w:rPr>
          <w:rFonts w:asciiTheme="majorHAnsi" w:eastAsiaTheme="minorHAnsi" w:hAnsiTheme="majorHAnsi" w:cs="Arial-BoldMT"/>
          <w:b/>
          <w:bCs/>
          <w:sz w:val="22"/>
          <w:szCs w:val="22"/>
          <w:lang w:eastAsia="en-US"/>
        </w:rPr>
        <w:t xml:space="preserve">Figure 1. </w:t>
      </w:r>
      <w:r w:rsidRPr="000D064E">
        <w:rPr>
          <w:rFonts w:asciiTheme="majorHAnsi" w:eastAsiaTheme="minorHAnsi" w:hAnsiTheme="majorHAnsi" w:cs="ArialMT"/>
          <w:sz w:val="22"/>
          <w:szCs w:val="22"/>
          <w:lang w:eastAsia="en-US"/>
        </w:rPr>
        <w:t xml:space="preserve">Experimental setup of </w:t>
      </w:r>
      <w:r w:rsidRPr="000D064E">
        <w:rPr>
          <w:rFonts w:asciiTheme="majorHAnsi" w:eastAsiaTheme="minorHAnsi" w:hAnsiTheme="majorHAnsi" w:cs="Arial-ItalicMT"/>
          <w:i/>
          <w:iCs/>
          <w:sz w:val="22"/>
          <w:szCs w:val="22"/>
          <w:lang w:eastAsia="en-US"/>
        </w:rPr>
        <w:t xml:space="preserve">in situ </w:t>
      </w:r>
      <w:r w:rsidRPr="000D064E">
        <w:rPr>
          <w:rFonts w:asciiTheme="majorHAnsi" w:eastAsiaTheme="minorHAnsi" w:hAnsiTheme="majorHAnsi" w:cs="ArialMT"/>
          <w:sz w:val="22"/>
          <w:szCs w:val="22"/>
          <w:lang w:eastAsia="en-US"/>
        </w:rPr>
        <w:t>mouse calvaria under MIFU stimulation and Ca</w:t>
      </w:r>
      <w:r w:rsidRPr="000D064E">
        <w:rPr>
          <w:rFonts w:asciiTheme="majorHAnsi" w:eastAsiaTheme="minorHAnsi" w:hAnsiTheme="majorHAnsi" w:cs="ArialMT"/>
          <w:sz w:val="22"/>
          <w:szCs w:val="22"/>
          <w:vertAlign w:val="superscript"/>
          <w:lang w:eastAsia="en-US"/>
        </w:rPr>
        <w:t>2+</w:t>
      </w:r>
      <w:r w:rsidRPr="000D064E">
        <w:rPr>
          <w:rFonts w:asciiTheme="majorHAnsi" w:eastAsiaTheme="minorHAnsi" w:hAnsiTheme="majorHAnsi" w:cs="ArialMT"/>
          <w:sz w:val="22"/>
          <w:szCs w:val="22"/>
          <w:lang w:eastAsia="en-US"/>
        </w:rPr>
        <w:t xml:space="preserve"> imaging (A); responsive percentage (B); normalized spike magnitude (C), number of spikes (D), and spike initiation time (E) of osteocyte Ca</w:t>
      </w:r>
      <w:r w:rsidRPr="000D064E">
        <w:rPr>
          <w:rFonts w:asciiTheme="majorHAnsi" w:eastAsiaTheme="minorHAnsi" w:hAnsiTheme="majorHAnsi" w:cs="ArialMT"/>
          <w:sz w:val="22"/>
          <w:szCs w:val="22"/>
          <w:vertAlign w:val="superscript"/>
          <w:lang w:eastAsia="en-US"/>
        </w:rPr>
        <w:t>2+</w:t>
      </w:r>
      <w:r w:rsidRPr="000D064E">
        <w:rPr>
          <w:rFonts w:asciiTheme="majorHAnsi" w:eastAsiaTheme="minorHAnsi" w:hAnsiTheme="majorHAnsi" w:cs="ArialMT"/>
          <w:sz w:val="22"/>
          <w:szCs w:val="22"/>
          <w:lang w:eastAsia="en-US"/>
        </w:rPr>
        <w:t xml:space="preserve"> responses to MIFU at various energy powers. ^</w:t>
      </w:r>
      <w:r w:rsidRPr="000D064E">
        <w:rPr>
          <w:rFonts w:asciiTheme="majorHAnsi" w:eastAsiaTheme="minorHAnsi" w:hAnsiTheme="majorHAnsi" w:cs="Arial-ItalicMT"/>
          <w:i/>
          <w:iCs/>
          <w:sz w:val="22"/>
          <w:szCs w:val="22"/>
          <w:lang w:eastAsia="en-US"/>
        </w:rPr>
        <w:t>p</w:t>
      </w:r>
      <w:r w:rsidRPr="000D064E">
        <w:rPr>
          <w:rFonts w:asciiTheme="majorHAnsi" w:eastAsiaTheme="minorHAnsi" w:hAnsiTheme="majorHAnsi" w:cs="ArialMT"/>
          <w:sz w:val="22"/>
          <w:szCs w:val="22"/>
          <w:lang w:eastAsia="en-US"/>
        </w:rPr>
        <w:t>&lt;0.01 vs. 0.05W; *</w:t>
      </w:r>
      <w:r w:rsidRPr="000D064E">
        <w:rPr>
          <w:rFonts w:asciiTheme="majorHAnsi" w:eastAsiaTheme="minorHAnsi" w:hAnsiTheme="majorHAnsi" w:cs="Arial-ItalicMT"/>
          <w:i/>
          <w:iCs/>
          <w:sz w:val="22"/>
          <w:szCs w:val="22"/>
          <w:lang w:eastAsia="en-US"/>
        </w:rPr>
        <w:t>p</w:t>
      </w:r>
      <w:r w:rsidRPr="000D064E">
        <w:rPr>
          <w:rFonts w:asciiTheme="majorHAnsi" w:eastAsiaTheme="minorHAnsi" w:hAnsiTheme="majorHAnsi" w:cs="ArialMT"/>
          <w:sz w:val="22"/>
          <w:szCs w:val="22"/>
          <w:lang w:eastAsia="en-US"/>
        </w:rPr>
        <w:t>&lt;0.05 vs. 0.2W.</w:t>
      </w:r>
    </w:p>
    <w:p w:rsidR="00274DCF" w:rsidRDefault="00274DCF" w:rsidP="000D064E">
      <w:pPr>
        <w:autoSpaceDE w:val="0"/>
        <w:autoSpaceDN w:val="0"/>
        <w:adjustRightInd w:val="0"/>
        <w:rPr>
          <w:rFonts w:asciiTheme="majorHAnsi" w:eastAsiaTheme="minorHAnsi" w:hAnsiTheme="majorHAnsi" w:cs="ArialMT"/>
          <w:sz w:val="22"/>
          <w:szCs w:val="22"/>
          <w:lang w:eastAsia="en-US"/>
        </w:rPr>
      </w:pPr>
    </w:p>
    <w:p w:rsidR="00274DCF" w:rsidRDefault="00274DCF" w:rsidP="000D064E">
      <w:pPr>
        <w:autoSpaceDE w:val="0"/>
        <w:autoSpaceDN w:val="0"/>
        <w:adjustRightInd w:val="0"/>
        <w:rPr>
          <w:rFonts w:asciiTheme="majorHAnsi" w:eastAsiaTheme="minorHAnsi" w:hAnsiTheme="majorHAnsi" w:cs="ArialMT"/>
          <w:sz w:val="22"/>
          <w:szCs w:val="22"/>
          <w:lang w:eastAsia="en-US"/>
        </w:rPr>
      </w:pPr>
    </w:p>
    <w:p w:rsidR="00274DCF" w:rsidRDefault="00274DCF" w:rsidP="000D064E">
      <w:pPr>
        <w:autoSpaceDE w:val="0"/>
        <w:autoSpaceDN w:val="0"/>
        <w:adjustRightInd w:val="0"/>
        <w:rPr>
          <w:rFonts w:asciiTheme="majorHAnsi" w:eastAsiaTheme="minorHAnsi" w:hAnsiTheme="majorHAnsi" w:cs="ArialMT"/>
          <w:sz w:val="22"/>
          <w:szCs w:val="22"/>
          <w:lang w:eastAsia="en-US"/>
        </w:rPr>
      </w:pPr>
      <w:r w:rsidRPr="00274DCF">
        <w:rPr>
          <w:rFonts w:asciiTheme="majorHAnsi" w:eastAsiaTheme="minorHAnsi" w:hAnsiTheme="majorHAnsi" w:cs="ArialMT"/>
          <w:noProof/>
          <w:sz w:val="22"/>
          <w:szCs w:val="22"/>
          <w:lang w:eastAsia="en-US"/>
        </w:rPr>
        <w:drawing>
          <wp:inline distT="0" distB="0" distL="0" distR="0">
            <wp:extent cx="5486400" cy="70539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053943"/>
                    </a:xfrm>
                    <a:prstGeom prst="rect">
                      <a:avLst/>
                    </a:prstGeom>
                    <a:noFill/>
                    <a:ln>
                      <a:noFill/>
                    </a:ln>
                  </pic:spPr>
                </pic:pic>
              </a:graphicData>
            </a:graphic>
          </wp:inline>
        </w:drawing>
      </w:r>
    </w:p>
    <w:p w:rsidR="00274DCF" w:rsidRDefault="00274DCF" w:rsidP="000D064E">
      <w:pPr>
        <w:autoSpaceDE w:val="0"/>
        <w:autoSpaceDN w:val="0"/>
        <w:adjustRightInd w:val="0"/>
        <w:rPr>
          <w:rFonts w:asciiTheme="majorHAnsi" w:eastAsiaTheme="minorHAnsi" w:hAnsiTheme="majorHAnsi" w:cs="ArialMT"/>
          <w:sz w:val="22"/>
          <w:szCs w:val="22"/>
          <w:lang w:eastAsia="en-US"/>
        </w:rPr>
      </w:pPr>
    </w:p>
    <w:p w:rsidR="00274DCF" w:rsidRDefault="00274DCF" w:rsidP="00274DCF">
      <w:pPr>
        <w:autoSpaceDE w:val="0"/>
        <w:autoSpaceDN w:val="0"/>
        <w:adjustRightInd w:val="0"/>
        <w:rPr>
          <w:rFonts w:asciiTheme="majorHAnsi" w:hAnsiTheme="majorHAnsi"/>
          <w:sz w:val="22"/>
          <w:szCs w:val="22"/>
        </w:rPr>
      </w:pPr>
      <w:r w:rsidRPr="00274DCF">
        <w:rPr>
          <w:rFonts w:asciiTheme="majorHAnsi" w:hAnsiTheme="majorHAnsi"/>
          <w:sz w:val="22"/>
          <w:szCs w:val="22"/>
        </w:rPr>
        <w:t>Figure 2. Experimental setup of in vivo Ai38/Dmp-1-cre mouse under MIFU</w:t>
      </w:r>
      <w:r w:rsidR="00563E12">
        <w:rPr>
          <w:rFonts w:asciiTheme="majorHAnsi" w:hAnsiTheme="majorHAnsi"/>
          <w:sz w:val="22"/>
          <w:szCs w:val="22"/>
        </w:rPr>
        <w:t xml:space="preserve"> </w:t>
      </w:r>
      <w:r w:rsidRPr="00274DCF">
        <w:rPr>
          <w:rFonts w:asciiTheme="majorHAnsi" w:hAnsiTheme="majorHAnsi"/>
          <w:sz w:val="22"/>
          <w:szCs w:val="22"/>
        </w:rPr>
        <w:t>stimulation and Ca</w:t>
      </w:r>
      <w:r w:rsidRPr="00274DCF">
        <w:rPr>
          <w:rFonts w:asciiTheme="majorHAnsi" w:hAnsiTheme="majorHAnsi"/>
          <w:sz w:val="22"/>
          <w:szCs w:val="22"/>
          <w:vertAlign w:val="superscript"/>
        </w:rPr>
        <w:t>2+</w:t>
      </w:r>
      <w:r w:rsidRPr="00274DCF">
        <w:rPr>
          <w:rFonts w:asciiTheme="majorHAnsi" w:hAnsiTheme="majorHAnsi"/>
          <w:sz w:val="22"/>
          <w:szCs w:val="22"/>
        </w:rPr>
        <w:t xml:space="preserve"> imaging on the calvaria (A); representative Ca</w:t>
      </w:r>
      <w:r w:rsidRPr="00274DCF">
        <w:rPr>
          <w:rFonts w:asciiTheme="majorHAnsi" w:hAnsiTheme="majorHAnsi"/>
          <w:sz w:val="22"/>
          <w:szCs w:val="22"/>
          <w:vertAlign w:val="superscript"/>
        </w:rPr>
        <w:t>2+</w:t>
      </w:r>
      <w:r w:rsidRPr="00274DCF">
        <w:rPr>
          <w:rFonts w:asciiTheme="majorHAnsi" w:hAnsiTheme="majorHAnsi"/>
          <w:sz w:val="22"/>
          <w:szCs w:val="22"/>
        </w:rPr>
        <w:t xml:space="preserve"> trace under 1W</w:t>
      </w:r>
      <w:r w:rsidR="00563E12">
        <w:rPr>
          <w:rFonts w:asciiTheme="majorHAnsi" w:hAnsiTheme="majorHAnsi"/>
          <w:sz w:val="22"/>
          <w:szCs w:val="22"/>
        </w:rPr>
        <w:t xml:space="preserve"> </w:t>
      </w:r>
      <w:r w:rsidRPr="00274DCF">
        <w:rPr>
          <w:rFonts w:asciiTheme="majorHAnsi" w:hAnsiTheme="majorHAnsi"/>
          <w:sz w:val="22"/>
          <w:szCs w:val="22"/>
        </w:rPr>
        <w:t>MIFU (B); responsive percentage (C); number of spikes (D); spike initiation time (E);</w:t>
      </w:r>
      <w:r w:rsidR="00563E12">
        <w:rPr>
          <w:rFonts w:asciiTheme="majorHAnsi" w:hAnsiTheme="majorHAnsi"/>
          <w:sz w:val="22"/>
          <w:szCs w:val="22"/>
        </w:rPr>
        <w:t xml:space="preserve"> </w:t>
      </w:r>
      <w:r w:rsidRPr="00274DCF">
        <w:rPr>
          <w:rFonts w:asciiTheme="majorHAnsi" w:hAnsiTheme="majorHAnsi"/>
          <w:sz w:val="22"/>
          <w:szCs w:val="22"/>
        </w:rPr>
        <w:t>normalized spike magnitude (F) of osteocyte Ca</w:t>
      </w:r>
      <w:r w:rsidRPr="00274DCF">
        <w:rPr>
          <w:rFonts w:asciiTheme="majorHAnsi" w:hAnsiTheme="majorHAnsi"/>
          <w:sz w:val="22"/>
          <w:szCs w:val="22"/>
          <w:vertAlign w:val="superscript"/>
        </w:rPr>
        <w:t>2+</w:t>
      </w:r>
      <w:r w:rsidRPr="00274DCF">
        <w:rPr>
          <w:rFonts w:asciiTheme="majorHAnsi" w:hAnsiTheme="majorHAnsi"/>
          <w:sz w:val="22"/>
          <w:szCs w:val="22"/>
        </w:rPr>
        <w:t xml:space="preserve"> responses to MIFU at various</w:t>
      </w:r>
      <w:r w:rsidR="00563E12">
        <w:rPr>
          <w:rFonts w:asciiTheme="majorHAnsi" w:hAnsiTheme="majorHAnsi"/>
          <w:sz w:val="22"/>
          <w:szCs w:val="22"/>
        </w:rPr>
        <w:t xml:space="preserve"> </w:t>
      </w:r>
      <w:r w:rsidRPr="00274DCF">
        <w:rPr>
          <w:rFonts w:asciiTheme="majorHAnsi" w:hAnsiTheme="majorHAnsi"/>
          <w:sz w:val="22"/>
          <w:szCs w:val="22"/>
        </w:rPr>
        <w:t>energy powers.</w:t>
      </w:r>
    </w:p>
    <w:p w:rsidR="001275E8" w:rsidRDefault="001275E8" w:rsidP="00274DCF">
      <w:pPr>
        <w:autoSpaceDE w:val="0"/>
        <w:autoSpaceDN w:val="0"/>
        <w:adjustRightInd w:val="0"/>
        <w:rPr>
          <w:rFonts w:asciiTheme="majorHAnsi" w:hAnsiTheme="majorHAnsi"/>
          <w:sz w:val="22"/>
          <w:szCs w:val="22"/>
        </w:rPr>
      </w:pPr>
    </w:p>
    <w:p w:rsidR="001275E8" w:rsidRDefault="001275E8" w:rsidP="00274DCF">
      <w:pPr>
        <w:autoSpaceDE w:val="0"/>
        <w:autoSpaceDN w:val="0"/>
        <w:adjustRightInd w:val="0"/>
        <w:rPr>
          <w:rFonts w:asciiTheme="majorHAnsi" w:hAnsiTheme="majorHAnsi"/>
          <w:sz w:val="22"/>
          <w:szCs w:val="22"/>
        </w:rPr>
      </w:pPr>
    </w:p>
    <w:p w:rsidR="00CB5EE2" w:rsidRDefault="00CB5EE2">
      <w:pPr>
        <w:spacing w:after="160" w:line="259" w:lineRule="auto"/>
        <w:rPr>
          <w:rFonts w:asciiTheme="majorHAnsi" w:eastAsiaTheme="minorHAnsi" w:hAnsiTheme="majorHAnsi" w:cs="ArialMT"/>
          <w:b/>
          <w:color w:val="000000"/>
          <w:sz w:val="22"/>
          <w:szCs w:val="22"/>
          <w:lang w:eastAsia="en-US"/>
        </w:rPr>
      </w:pPr>
      <w:r>
        <w:rPr>
          <w:rFonts w:asciiTheme="majorHAnsi" w:eastAsiaTheme="minorHAnsi" w:hAnsiTheme="majorHAnsi" w:cs="ArialMT"/>
          <w:b/>
          <w:color w:val="000000"/>
          <w:sz w:val="22"/>
          <w:szCs w:val="22"/>
          <w:lang w:eastAsia="en-US"/>
        </w:rPr>
        <w:br w:type="page"/>
      </w:r>
    </w:p>
    <w:p w:rsidR="00274DCF" w:rsidRPr="00593C3E" w:rsidRDefault="00274DCF" w:rsidP="00274DCF">
      <w:pPr>
        <w:autoSpaceDE w:val="0"/>
        <w:autoSpaceDN w:val="0"/>
        <w:adjustRightInd w:val="0"/>
        <w:rPr>
          <w:rFonts w:asciiTheme="majorHAnsi" w:eastAsiaTheme="minorHAnsi" w:hAnsiTheme="majorHAnsi" w:cs="ArialMT"/>
          <w:b/>
          <w:color w:val="000000"/>
          <w:sz w:val="22"/>
          <w:szCs w:val="22"/>
          <w:lang w:eastAsia="en-US"/>
        </w:rPr>
      </w:pPr>
      <w:r w:rsidRPr="00593C3E">
        <w:rPr>
          <w:rFonts w:asciiTheme="majorHAnsi" w:eastAsiaTheme="minorHAnsi" w:hAnsiTheme="majorHAnsi" w:cs="ArialMT"/>
          <w:b/>
          <w:color w:val="000000"/>
          <w:sz w:val="22"/>
          <w:szCs w:val="22"/>
          <w:lang w:eastAsia="en-US"/>
        </w:rPr>
        <w:t>Distinct Response of Osteons at Different Locations in Response to Loading and Intermittent PTH Injections</w:t>
      </w:r>
    </w:p>
    <w:p w:rsidR="00274DCF" w:rsidRPr="005F6E1E" w:rsidRDefault="00274DCF" w:rsidP="00274DCF">
      <w:pPr>
        <w:autoSpaceDE w:val="0"/>
        <w:autoSpaceDN w:val="0"/>
        <w:adjustRightInd w:val="0"/>
        <w:rPr>
          <w:rFonts w:asciiTheme="majorHAnsi" w:eastAsiaTheme="minorHAnsi" w:hAnsiTheme="majorHAnsi" w:cs="ArialMT"/>
          <w:i/>
          <w:color w:val="000000"/>
          <w:sz w:val="22"/>
          <w:szCs w:val="22"/>
          <w:lang w:eastAsia="en-US"/>
        </w:rPr>
      </w:pPr>
      <w:r w:rsidRPr="005F6E1E">
        <w:rPr>
          <w:rFonts w:asciiTheme="majorHAnsi" w:eastAsiaTheme="minorHAnsi" w:hAnsiTheme="majorHAnsi" w:cs="ArialMT"/>
          <w:i/>
          <w:color w:val="000000"/>
          <w:sz w:val="22"/>
          <w:szCs w:val="22"/>
          <w:lang w:eastAsia="en-US"/>
        </w:rPr>
        <w:t>K</w:t>
      </w:r>
      <w:r w:rsidR="00143165">
        <w:rPr>
          <w:rFonts w:asciiTheme="majorHAnsi" w:eastAsiaTheme="minorHAnsi" w:hAnsiTheme="majorHAnsi" w:cs="ArialMT"/>
          <w:i/>
          <w:color w:val="000000"/>
          <w:sz w:val="22"/>
          <w:szCs w:val="22"/>
          <w:lang w:eastAsia="en-US"/>
        </w:rPr>
        <w:t>e</w:t>
      </w:r>
      <w:r w:rsidRPr="005F6E1E">
        <w:rPr>
          <w:rFonts w:asciiTheme="majorHAnsi" w:eastAsiaTheme="minorHAnsi" w:hAnsiTheme="majorHAnsi" w:cs="ArialMT"/>
          <w:i/>
          <w:color w:val="000000"/>
          <w:sz w:val="22"/>
          <w:szCs w:val="22"/>
          <w:lang w:eastAsia="en-US"/>
        </w:rPr>
        <w:t xml:space="preserve"> Wang</w:t>
      </w:r>
      <w:r w:rsidR="00143165">
        <w:rPr>
          <w:rFonts w:asciiTheme="majorHAnsi" w:eastAsiaTheme="minorHAnsi" w:hAnsiTheme="majorHAnsi" w:cs="ArialMT"/>
          <w:i/>
          <w:color w:val="000000"/>
          <w:sz w:val="22"/>
          <w:szCs w:val="22"/>
          <w:lang w:eastAsia="en-US"/>
        </w:rPr>
        <w:t xml:space="preserve"> </w:t>
      </w:r>
      <w:r w:rsidR="006D76D4">
        <w:rPr>
          <w:rFonts w:asciiTheme="majorHAnsi" w:eastAsiaTheme="minorHAnsi" w:hAnsiTheme="majorHAnsi" w:cs="ArialMT"/>
          <w:i/>
          <w:color w:val="000000"/>
          <w:sz w:val="22"/>
          <w:szCs w:val="22"/>
          <w:lang w:eastAsia="en-US"/>
        </w:rPr>
        <w:t>DDS</w:t>
      </w:r>
      <w:r w:rsidRPr="005F6E1E">
        <w:rPr>
          <w:rFonts w:asciiTheme="majorHAnsi" w:eastAsiaTheme="minorHAnsi" w:hAnsiTheme="majorHAnsi" w:cs="ArialMT"/>
          <w:i/>
          <w:color w:val="000000"/>
          <w:sz w:val="22"/>
          <w:szCs w:val="22"/>
          <w:vertAlign w:val="superscript"/>
          <w:lang w:eastAsia="en-US"/>
        </w:rPr>
        <w:t>1</w:t>
      </w:r>
      <w:r w:rsidRPr="005F6E1E">
        <w:rPr>
          <w:rFonts w:asciiTheme="majorHAnsi" w:eastAsiaTheme="minorHAnsi" w:hAnsiTheme="majorHAnsi" w:cs="ArialMT"/>
          <w:i/>
          <w:color w:val="000000"/>
          <w:sz w:val="22"/>
          <w:szCs w:val="22"/>
          <w:lang w:eastAsia="en-US"/>
        </w:rPr>
        <w:t>, Y</w:t>
      </w:r>
      <w:r w:rsidR="00143165">
        <w:rPr>
          <w:rFonts w:asciiTheme="majorHAnsi" w:eastAsiaTheme="minorHAnsi" w:hAnsiTheme="majorHAnsi" w:cs="ArialMT"/>
          <w:i/>
          <w:color w:val="000000"/>
          <w:sz w:val="22"/>
          <w:szCs w:val="22"/>
          <w:lang w:eastAsia="en-US"/>
        </w:rPr>
        <w:t>uan</w:t>
      </w:r>
      <w:r w:rsidRPr="005F6E1E">
        <w:rPr>
          <w:rFonts w:asciiTheme="majorHAnsi" w:eastAsiaTheme="minorHAnsi" w:hAnsiTheme="majorHAnsi" w:cs="ArialMT"/>
          <w:i/>
          <w:color w:val="000000"/>
          <w:sz w:val="22"/>
          <w:szCs w:val="22"/>
          <w:lang w:eastAsia="en-US"/>
        </w:rPr>
        <w:t xml:space="preserve"> Hui</w:t>
      </w:r>
      <w:r w:rsidR="00143165">
        <w:rPr>
          <w:rFonts w:asciiTheme="majorHAnsi" w:eastAsiaTheme="minorHAnsi" w:hAnsiTheme="majorHAnsi" w:cs="ArialMT"/>
          <w:i/>
          <w:color w:val="000000"/>
          <w:sz w:val="22"/>
          <w:szCs w:val="22"/>
          <w:lang w:eastAsia="en-US"/>
        </w:rPr>
        <w:t>, DDS</w:t>
      </w:r>
      <w:r w:rsidRPr="005F6E1E">
        <w:rPr>
          <w:rFonts w:asciiTheme="majorHAnsi" w:eastAsiaTheme="minorHAnsi" w:hAnsiTheme="majorHAnsi" w:cs="ArialMT"/>
          <w:i/>
          <w:color w:val="000000"/>
          <w:sz w:val="22"/>
          <w:szCs w:val="22"/>
          <w:vertAlign w:val="superscript"/>
          <w:lang w:eastAsia="en-US"/>
        </w:rPr>
        <w:t>2</w:t>
      </w:r>
      <w:r w:rsidRPr="005F6E1E">
        <w:rPr>
          <w:rFonts w:asciiTheme="majorHAnsi" w:eastAsiaTheme="minorHAnsi" w:hAnsiTheme="majorHAnsi" w:cs="ArialMT"/>
          <w:i/>
          <w:color w:val="000000"/>
          <w:sz w:val="22"/>
          <w:szCs w:val="22"/>
          <w:lang w:eastAsia="en-US"/>
        </w:rPr>
        <w:t>, Y</w:t>
      </w:r>
      <w:r w:rsidR="00143165">
        <w:rPr>
          <w:rFonts w:asciiTheme="majorHAnsi" w:eastAsiaTheme="minorHAnsi" w:hAnsiTheme="majorHAnsi" w:cs="ArialMT"/>
          <w:i/>
          <w:color w:val="000000"/>
          <w:sz w:val="22"/>
          <w:szCs w:val="22"/>
          <w:lang w:eastAsia="en-US"/>
        </w:rPr>
        <w:t>inshi</w:t>
      </w:r>
      <w:r w:rsidRPr="005F6E1E">
        <w:rPr>
          <w:rFonts w:asciiTheme="majorHAnsi" w:eastAsiaTheme="minorHAnsi" w:hAnsiTheme="majorHAnsi" w:cs="ArialMT"/>
          <w:i/>
          <w:color w:val="000000"/>
          <w:sz w:val="22"/>
          <w:szCs w:val="22"/>
          <w:lang w:eastAsia="en-US"/>
        </w:rPr>
        <w:t xml:space="preserve"> Ren</w:t>
      </w:r>
      <w:r w:rsidR="00143165">
        <w:rPr>
          <w:rFonts w:asciiTheme="majorHAnsi" w:eastAsiaTheme="minorHAnsi" w:hAnsiTheme="majorHAnsi" w:cs="ArialMT"/>
          <w:i/>
          <w:color w:val="000000"/>
          <w:sz w:val="22"/>
          <w:szCs w:val="22"/>
          <w:lang w:eastAsia="en-US"/>
        </w:rPr>
        <w:t>, PhD</w:t>
      </w:r>
      <w:r w:rsidRPr="005F6E1E">
        <w:rPr>
          <w:rFonts w:asciiTheme="majorHAnsi" w:eastAsiaTheme="minorHAnsi" w:hAnsiTheme="majorHAnsi" w:cs="ArialMT"/>
          <w:i/>
          <w:color w:val="000000"/>
          <w:sz w:val="22"/>
          <w:szCs w:val="22"/>
          <w:vertAlign w:val="superscript"/>
          <w:lang w:eastAsia="en-US"/>
        </w:rPr>
        <w:t>3</w:t>
      </w:r>
      <w:r w:rsidRPr="005F6E1E">
        <w:rPr>
          <w:rFonts w:asciiTheme="majorHAnsi" w:eastAsiaTheme="minorHAnsi" w:hAnsiTheme="majorHAnsi" w:cs="ArialMT"/>
          <w:i/>
          <w:color w:val="000000"/>
          <w:sz w:val="22"/>
          <w:szCs w:val="22"/>
          <w:lang w:eastAsia="en-US"/>
        </w:rPr>
        <w:t>, Y</w:t>
      </w:r>
      <w:r w:rsidR="00143165">
        <w:rPr>
          <w:rFonts w:asciiTheme="majorHAnsi" w:eastAsiaTheme="minorHAnsi" w:hAnsiTheme="majorHAnsi" w:cs="ArialMT"/>
          <w:i/>
          <w:color w:val="000000"/>
          <w:sz w:val="22"/>
          <w:szCs w:val="22"/>
          <w:lang w:eastAsia="en-US"/>
        </w:rPr>
        <w:t>ing</w:t>
      </w:r>
      <w:r w:rsidRPr="005F6E1E">
        <w:rPr>
          <w:rFonts w:asciiTheme="majorHAnsi" w:eastAsiaTheme="minorHAnsi" w:hAnsiTheme="majorHAnsi" w:cs="ArialMT"/>
          <w:i/>
          <w:color w:val="000000"/>
          <w:sz w:val="22"/>
          <w:szCs w:val="22"/>
          <w:lang w:eastAsia="en-US"/>
        </w:rPr>
        <w:t xml:space="preserve"> Liu</w:t>
      </w:r>
      <w:r w:rsidR="00CE115F">
        <w:rPr>
          <w:rFonts w:asciiTheme="majorHAnsi" w:eastAsiaTheme="minorHAnsi" w:hAnsiTheme="majorHAnsi" w:cs="ArialMT"/>
          <w:i/>
          <w:color w:val="000000"/>
          <w:sz w:val="22"/>
          <w:szCs w:val="22"/>
          <w:lang w:eastAsia="en-US"/>
        </w:rPr>
        <w:t>, MD</w:t>
      </w:r>
      <w:r w:rsidRPr="005F6E1E">
        <w:rPr>
          <w:rFonts w:asciiTheme="majorHAnsi" w:eastAsiaTheme="minorHAnsi" w:hAnsiTheme="majorHAnsi" w:cs="ArialMT"/>
          <w:i/>
          <w:color w:val="000000"/>
          <w:sz w:val="22"/>
          <w:szCs w:val="22"/>
          <w:vertAlign w:val="superscript"/>
          <w:lang w:eastAsia="en-US"/>
        </w:rPr>
        <w:t>1</w:t>
      </w:r>
      <w:r w:rsidRPr="005F6E1E">
        <w:rPr>
          <w:rFonts w:asciiTheme="majorHAnsi" w:eastAsiaTheme="minorHAnsi" w:hAnsiTheme="majorHAnsi" w:cs="ArialMT"/>
          <w:i/>
          <w:color w:val="000000"/>
          <w:sz w:val="22"/>
          <w:szCs w:val="22"/>
          <w:lang w:eastAsia="en-US"/>
        </w:rPr>
        <w:t>, X</w:t>
      </w:r>
      <w:r w:rsidR="00143165">
        <w:rPr>
          <w:rFonts w:asciiTheme="majorHAnsi" w:eastAsiaTheme="minorHAnsi" w:hAnsiTheme="majorHAnsi" w:cs="ArialMT"/>
          <w:i/>
          <w:color w:val="000000"/>
          <w:sz w:val="22"/>
          <w:szCs w:val="22"/>
          <w:lang w:eastAsia="en-US"/>
        </w:rPr>
        <w:t>ianglong</w:t>
      </w:r>
      <w:r w:rsidRPr="005F6E1E">
        <w:rPr>
          <w:rFonts w:asciiTheme="majorHAnsi" w:eastAsiaTheme="minorHAnsi" w:hAnsiTheme="majorHAnsi" w:cs="ArialMT"/>
          <w:i/>
          <w:color w:val="000000"/>
          <w:sz w:val="22"/>
          <w:szCs w:val="22"/>
          <w:lang w:eastAsia="en-US"/>
        </w:rPr>
        <w:t xml:space="preserve"> Han</w:t>
      </w:r>
      <w:r w:rsidR="00143165">
        <w:rPr>
          <w:rFonts w:asciiTheme="majorHAnsi" w:eastAsiaTheme="minorHAnsi" w:hAnsiTheme="majorHAnsi" w:cs="ArialMT"/>
          <w:i/>
          <w:color w:val="000000"/>
          <w:sz w:val="22"/>
          <w:szCs w:val="22"/>
          <w:lang w:eastAsia="en-US"/>
        </w:rPr>
        <w:t>, DDS</w:t>
      </w:r>
      <w:r w:rsidRPr="005F6E1E">
        <w:rPr>
          <w:rFonts w:asciiTheme="majorHAnsi" w:eastAsiaTheme="minorHAnsi" w:hAnsiTheme="majorHAnsi" w:cs="ArialMT"/>
          <w:i/>
          <w:color w:val="000000"/>
          <w:sz w:val="22"/>
          <w:szCs w:val="22"/>
          <w:vertAlign w:val="superscript"/>
          <w:lang w:eastAsia="en-US"/>
        </w:rPr>
        <w:t>4</w:t>
      </w:r>
      <w:r w:rsidRPr="005F6E1E">
        <w:rPr>
          <w:rFonts w:asciiTheme="majorHAnsi" w:eastAsiaTheme="minorHAnsi" w:hAnsiTheme="majorHAnsi" w:cs="ArialMT"/>
          <w:i/>
          <w:color w:val="000000"/>
          <w:sz w:val="22"/>
          <w:szCs w:val="22"/>
          <w:lang w:eastAsia="en-US"/>
        </w:rPr>
        <w:t>, and J</w:t>
      </w:r>
      <w:r w:rsidR="00143165">
        <w:rPr>
          <w:rFonts w:asciiTheme="majorHAnsi" w:eastAsiaTheme="minorHAnsi" w:hAnsiTheme="majorHAnsi" w:cs="ArialMT"/>
          <w:i/>
          <w:color w:val="000000"/>
          <w:sz w:val="22"/>
          <w:szCs w:val="22"/>
          <w:lang w:eastAsia="en-US"/>
        </w:rPr>
        <w:t xml:space="preserve">ing </w:t>
      </w:r>
      <w:r w:rsidRPr="005F6E1E">
        <w:rPr>
          <w:rFonts w:asciiTheme="majorHAnsi" w:eastAsiaTheme="minorHAnsi" w:hAnsiTheme="majorHAnsi" w:cs="ArialMT"/>
          <w:i/>
          <w:color w:val="000000"/>
          <w:sz w:val="22"/>
          <w:szCs w:val="22"/>
          <w:lang w:eastAsia="en-US"/>
        </w:rPr>
        <w:t>Q. Feng</w:t>
      </w:r>
      <w:r w:rsidR="00CE115F">
        <w:rPr>
          <w:rFonts w:asciiTheme="majorHAnsi" w:eastAsiaTheme="minorHAnsi" w:hAnsiTheme="majorHAnsi" w:cs="ArialMT"/>
          <w:i/>
          <w:color w:val="000000"/>
          <w:sz w:val="22"/>
          <w:szCs w:val="22"/>
          <w:lang w:eastAsia="en-US"/>
        </w:rPr>
        <w:t>, PhD</w:t>
      </w:r>
      <w:r w:rsidRPr="005F6E1E">
        <w:rPr>
          <w:rFonts w:asciiTheme="majorHAnsi" w:eastAsiaTheme="minorHAnsi" w:hAnsiTheme="majorHAnsi" w:cs="ArialMT"/>
          <w:i/>
          <w:color w:val="000000"/>
          <w:sz w:val="22"/>
          <w:szCs w:val="22"/>
          <w:vertAlign w:val="superscript"/>
          <w:lang w:eastAsia="en-US"/>
        </w:rPr>
        <w:t>1</w:t>
      </w:r>
    </w:p>
    <w:p w:rsidR="00274DCF" w:rsidRPr="005F6E1E" w:rsidRDefault="00274DCF" w:rsidP="00274DCF">
      <w:pPr>
        <w:autoSpaceDE w:val="0"/>
        <w:autoSpaceDN w:val="0"/>
        <w:adjustRightInd w:val="0"/>
        <w:rPr>
          <w:rFonts w:asciiTheme="majorHAnsi" w:eastAsiaTheme="minorHAnsi" w:hAnsiTheme="majorHAnsi" w:cs="ArialMT"/>
          <w:i/>
          <w:color w:val="000000"/>
          <w:sz w:val="22"/>
          <w:szCs w:val="22"/>
          <w:lang w:eastAsia="en-US"/>
        </w:rPr>
      </w:pPr>
      <w:r w:rsidRPr="00331405">
        <w:rPr>
          <w:rFonts w:asciiTheme="majorHAnsi" w:eastAsiaTheme="minorHAnsi" w:hAnsiTheme="majorHAnsi" w:cs="Arial-BoldMT"/>
          <w:bCs/>
          <w:i/>
          <w:color w:val="000000"/>
          <w:sz w:val="22"/>
          <w:szCs w:val="22"/>
          <w:vertAlign w:val="superscript"/>
          <w:lang w:eastAsia="en-US"/>
        </w:rPr>
        <w:t>1</w:t>
      </w:r>
      <w:r w:rsidRPr="005F6E1E">
        <w:rPr>
          <w:rFonts w:asciiTheme="majorHAnsi" w:eastAsiaTheme="minorHAnsi" w:hAnsiTheme="majorHAnsi" w:cs="ArialMT"/>
          <w:i/>
          <w:color w:val="000000"/>
          <w:sz w:val="22"/>
          <w:szCs w:val="22"/>
          <w:lang w:eastAsia="en-US"/>
        </w:rPr>
        <w:t>Department of Biomedical Science, Texas A&amp;M Health Science Center, Baylor College of Dentistry,</w:t>
      </w:r>
      <w:r w:rsidR="00593C3E" w:rsidRPr="005F6E1E">
        <w:rPr>
          <w:rFonts w:asciiTheme="majorHAnsi" w:eastAsiaTheme="minorHAnsi" w:hAnsiTheme="majorHAnsi" w:cs="ArialMT"/>
          <w:i/>
          <w:color w:val="000000"/>
          <w:sz w:val="22"/>
          <w:szCs w:val="22"/>
          <w:lang w:eastAsia="en-US"/>
        </w:rPr>
        <w:t xml:space="preserve"> </w:t>
      </w:r>
      <w:r w:rsidRPr="005F6E1E">
        <w:rPr>
          <w:rFonts w:asciiTheme="majorHAnsi" w:eastAsiaTheme="minorHAnsi" w:hAnsiTheme="majorHAnsi" w:cs="ArialMT"/>
          <w:i/>
          <w:color w:val="000000"/>
          <w:sz w:val="22"/>
          <w:szCs w:val="22"/>
          <w:lang w:eastAsia="en-US"/>
        </w:rPr>
        <w:t>Dallas, TX;</w:t>
      </w:r>
    </w:p>
    <w:p w:rsidR="00274DCF" w:rsidRPr="005F6E1E" w:rsidRDefault="00274DCF" w:rsidP="00274DCF">
      <w:pPr>
        <w:autoSpaceDE w:val="0"/>
        <w:autoSpaceDN w:val="0"/>
        <w:adjustRightInd w:val="0"/>
        <w:rPr>
          <w:rFonts w:asciiTheme="majorHAnsi" w:eastAsiaTheme="minorHAnsi" w:hAnsiTheme="majorHAnsi" w:cs="ArialMT"/>
          <w:i/>
          <w:color w:val="000000"/>
          <w:sz w:val="22"/>
          <w:szCs w:val="22"/>
          <w:lang w:eastAsia="en-US"/>
        </w:rPr>
      </w:pPr>
      <w:r w:rsidRPr="00331405">
        <w:rPr>
          <w:rFonts w:asciiTheme="majorHAnsi" w:eastAsiaTheme="minorHAnsi" w:hAnsiTheme="majorHAnsi" w:cs="Arial-BoldMT"/>
          <w:bCs/>
          <w:i/>
          <w:color w:val="000000"/>
          <w:sz w:val="22"/>
          <w:szCs w:val="22"/>
          <w:vertAlign w:val="superscript"/>
          <w:lang w:eastAsia="en-US"/>
        </w:rPr>
        <w:t>2</w:t>
      </w:r>
      <w:r w:rsidRPr="005F6E1E">
        <w:rPr>
          <w:rFonts w:asciiTheme="majorHAnsi" w:eastAsiaTheme="minorHAnsi" w:hAnsiTheme="majorHAnsi" w:cs="ArialMT"/>
          <w:i/>
          <w:color w:val="000000"/>
          <w:sz w:val="22"/>
          <w:szCs w:val="22"/>
          <w:lang w:eastAsia="en-US"/>
        </w:rPr>
        <w:t>Department of Orthodontics, Fourth Military Medical of University, China;</w:t>
      </w:r>
    </w:p>
    <w:p w:rsidR="00274DCF" w:rsidRPr="005F6E1E" w:rsidRDefault="00274DCF" w:rsidP="00274DCF">
      <w:pPr>
        <w:autoSpaceDE w:val="0"/>
        <w:autoSpaceDN w:val="0"/>
        <w:adjustRightInd w:val="0"/>
        <w:rPr>
          <w:rFonts w:asciiTheme="majorHAnsi" w:eastAsiaTheme="minorHAnsi" w:hAnsiTheme="majorHAnsi" w:cs="ArialMT"/>
          <w:i/>
          <w:color w:val="000000"/>
          <w:sz w:val="22"/>
          <w:szCs w:val="22"/>
          <w:lang w:eastAsia="en-US"/>
        </w:rPr>
      </w:pPr>
      <w:r w:rsidRPr="00331405">
        <w:rPr>
          <w:rFonts w:asciiTheme="majorHAnsi" w:eastAsiaTheme="minorHAnsi" w:hAnsiTheme="majorHAnsi" w:cs="Arial-BoldMT"/>
          <w:bCs/>
          <w:i/>
          <w:color w:val="000000"/>
          <w:sz w:val="22"/>
          <w:szCs w:val="22"/>
          <w:vertAlign w:val="superscript"/>
          <w:lang w:eastAsia="en-US"/>
        </w:rPr>
        <w:t>3</w:t>
      </w:r>
      <w:r w:rsidRPr="005F6E1E">
        <w:rPr>
          <w:rFonts w:asciiTheme="majorHAnsi" w:eastAsiaTheme="minorHAnsi" w:hAnsiTheme="majorHAnsi" w:cs="ArialMT"/>
          <w:i/>
          <w:color w:val="000000"/>
          <w:sz w:val="22"/>
          <w:szCs w:val="22"/>
          <w:lang w:eastAsia="en-US"/>
        </w:rPr>
        <w:t>Cellular, Developmental, and Genome Laboratories, Musculoskeletal Research Center, Duke</w:t>
      </w:r>
    </w:p>
    <w:p w:rsidR="00274DCF" w:rsidRPr="005F6E1E" w:rsidRDefault="00274DCF" w:rsidP="00274DCF">
      <w:pPr>
        <w:autoSpaceDE w:val="0"/>
        <w:autoSpaceDN w:val="0"/>
        <w:adjustRightInd w:val="0"/>
        <w:rPr>
          <w:rFonts w:asciiTheme="majorHAnsi" w:eastAsiaTheme="minorHAnsi" w:hAnsiTheme="majorHAnsi" w:cs="ArialMT"/>
          <w:i/>
          <w:color w:val="000000"/>
          <w:sz w:val="22"/>
          <w:szCs w:val="22"/>
          <w:lang w:eastAsia="en-US"/>
        </w:rPr>
      </w:pPr>
      <w:r w:rsidRPr="005F6E1E">
        <w:rPr>
          <w:rFonts w:asciiTheme="majorHAnsi" w:eastAsiaTheme="minorHAnsi" w:hAnsiTheme="majorHAnsi" w:cs="ArialMT"/>
          <w:i/>
          <w:color w:val="000000"/>
          <w:sz w:val="22"/>
          <w:szCs w:val="22"/>
          <w:lang w:eastAsia="en-US"/>
        </w:rPr>
        <w:t>University, Durham, NC;</w:t>
      </w:r>
    </w:p>
    <w:p w:rsidR="00274DCF" w:rsidRPr="005F6E1E" w:rsidRDefault="00274DCF" w:rsidP="00274DCF">
      <w:pPr>
        <w:autoSpaceDE w:val="0"/>
        <w:autoSpaceDN w:val="0"/>
        <w:adjustRightInd w:val="0"/>
        <w:rPr>
          <w:rFonts w:asciiTheme="majorHAnsi" w:eastAsiaTheme="minorHAnsi" w:hAnsiTheme="majorHAnsi" w:cs="ArialMT"/>
          <w:i/>
          <w:color w:val="000000"/>
          <w:sz w:val="22"/>
          <w:szCs w:val="22"/>
          <w:lang w:eastAsia="en-US"/>
        </w:rPr>
      </w:pPr>
      <w:r w:rsidRPr="00331405">
        <w:rPr>
          <w:rFonts w:asciiTheme="majorHAnsi" w:eastAsiaTheme="minorHAnsi" w:hAnsiTheme="majorHAnsi" w:cs="Arial-BoldMT"/>
          <w:bCs/>
          <w:i/>
          <w:color w:val="000000"/>
          <w:sz w:val="22"/>
          <w:szCs w:val="22"/>
          <w:vertAlign w:val="superscript"/>
          <w:lang w:eastAsia="en-US"/>
        </w:rPr>
        <w:t>4</w:t>
      </w:r>
      <w:r w:rsidRPr="005F6E1E">
        <w:rPr>
          <w:rFonts w:asciiTheme="majorHAnsi" w:eastAsiaTheme="minorHAnsi" w:hAnsiTheme="majorHAnsi" w:cs="ArialMT"/>
          <w:i/>
          <w:color w:val="000000"/>
          <w:sz w:val="22"/>
          <w:szCs w:val="22"/>
          <w:lang w:eastAsia="en-US"/>
        </w:rPr>
        <w:t>State Key Laboratory of Oral Diseases, West China Hospital of Stomatology, Sichuan University,</w:t>
      </w:r>
    </w:p>
    <w:p w:rsidR="00274DCF" w:rsidRDefault="00274DCF" w:rsidP="00274DCF">
      <w:pPr>
        <w:autoSpaceDE w:val="0"/>
        <w:autoSpaceDN w:val="0"/>
        <w:adjustRightInd w:val="0"/>
        <w:rPr>
          <w:rFonts w:asciiTheme="majorHAnsi" w:eastAsiaTheme="minorHAnsi" w:hAnsiTheme="majorHAnsi" w:cs="ArialMT"/>
          <w:color w:val="000000"/>
          <w:sz w:val="22"/>
          <w:szCs w:val="22"/>
          <w:lang w:eastAsia="en-US"/>
        </w:rPr>
      </w:pPr>
      <w:r w:rsidRPr="005F6E1E">
        <w:rPr>
          <w:rFonts w:asciiTheme="majorHAnsi" w:eastAsiaTheme="minorHAnsi" w:hAnsiTheme="majorHAnsi" w:cs="ArialMT"/>
          <w:i/>
          <w:color w:val="000000"/>
          <w:sz w:val="22"/>
          <w:szCs w:val="22"/>
          <w:lang w:eastAsia="en-US"/>
        </w:rPr>
        <w:t>China.</w:t>
      </w:r>
    </w:p>
    <w:p w:rsidR="00593C3E" w:rsidRPr="00274DCF" w:rsidRDefault="00593C3E" w:rsidP="00274DCF">
      <w:pPr>
        <w:autoSpaceDE w:val="0"/>
        <w:autoSpaceDN w:val="0"/>
        <w:adjustRightInd w:val="0"/>
        <w:rPr>
          <w:rFonts w:asciiTheme="majorHAnsi" w:eastAsiaTheme="minorHAnsi" w:hAnsiTheme="majorHAnsi" w:cs="ArialMT"/>
          <w:color w:val="000000"/>
          <w:sz w:val="22"/>
          <w:szCs w:val="22"/>
          <w:lang w:eastAsia="en-US"/>
        </w:rPr>
      </w:pPr>
    </w:p>
    <w:p w:rsidR="00274DCF" w:rsidRPr="00274DCF" w:rsidRDefault="00274DCF" w:rsidP="00274DCF">
      <w:pPr>
        <w:autoSpaceDE w:val="0"/>
        <w:autoSpaceDN w:val="0"/>
        <w:adjustRightInd w:val="0"/>
        <w:rPr>
          <w:rFonts w:asciiTheme="majorHAnsi" w:eastAsiaTheme="minorHAnsi" w:hAnsiTheme="majorHAnsi" w:cs="ArialMT"/>
          <w:color w:val="000000"/>
          <w:sz w:val="22"/>
          <w:szCs w:val="22"/>
          <w:lang w:eastAsia="en-US"/>
        </w:rPr>
      </w:pPr>
      <w:r w:rsidRPr="00274DCF">
        <w:rPr>
          <w:rFonts w:asciiTheme="majorHAnsi" w:eastAsiaTheme="minorHAnsi" w:hAnsiTheme="majorHAnsi" w:cs="ArialMT"/>
          <w:color w:val="000000"/>
          <w:sz w:val="22"/>
          <w:szCs w:val="22"/>
          <w:lang w:eastAsia="en-US"/>
        </w:rPr>
        <w:t xml:space="preserve">Currently, most, if not all, bone studies focus on rodents, which do not have an osteon structure, the </w:t>
      </w:r>
      <w:r w:rsidRPr="00274DCF">
        <w:rPr>
          <w:rFonts w:asciiTheme="majorHAnsi" w:eastAsiaTheme="minorHAnsi" w:hAnsiTheme="majorHAnsi" w:cs="Arial-ItalicMT"/>
          <w:i/>
          <w:iCs/>
          <w:color w:val="000000"/>
          <w:sz w:val="22"/>
          <w:szCs w:val="22"/>
          <w:lang w:eastAsia="en-US"/>
        </w:rPr>
        <w:t>basic unit</w:t>
      </w:r>
      <w:r w:rsidR="00593C3E">
        <w:rPr>
          <w:rFonts w:asciiTheme="majorHAnsi" w:eastAsiaTheme="minorHAnsi" w:hAnsiTheme="majorHAnsi" w:cs="Arial-ItalicMT"/>
          <w:i/>
          <w:iCs/>
          <w:color w:val="000000"/>
          <w:sz w:val="22"/>
          <w:szCs w:val="22"/>
          <w:lang w:eastAsia="en-US"/>
        </w:rPr>
        <w:t xml:space="preserve"> </w:t>
      </w:r>
      <w:r w:rsidRPr="00274DCF">
        <w:rPr>
          <w:rFonts w:asciiTheme="majorHAnsi" w:eastAsiaTheme="minorHAnsi" w:hAnsiTheme="majorHAnsi" w:cs="Arial-ItalicMT"/>
          <w:i/>
          <w:iCs/>
          <w:color w:val="000000"/>
          <w:sz w:val="22"/>
          <w:szCs w:val="22"/>
          <w:lang w:eastAsia="en-US"/>
        </w:rPr>
        <w:t xml:space="preserve">of bone formation and remodeling in large mammalians. </w:t>
      </w:r>
      <w:r w:rsidRPr="00274DCF">
        <w:rPr>
          <w:rFonts w:asciiTheme="majorHAnsi" w:eastAsiaTheme="minorHAnsi" w:hAnsiTheme="majorHAnsi" w:cs="ArialMT"/>
          <w:color w:val="000000"/>
          <w:sz w:val="22"/>
          <w:szCs w:val="22"/>
          <w:lang w:eastAsia="en-US"/>
        </w:rPr>
        <w:t>Interestingly, recent studies discovered an astonish</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 xml:space="preserve">defect in Harversian-canal-osteon structures in patients with osteoporosis. </w:t>
      </w:r>
      <w:r w:rsidRPr="00274DCF">
        <w:rPr>
          <w:rFonts w:asciiTheme="majorHAnsi" w:eastAsiaTheme="minorHAnsi" w:hAnsiTheme="majorHAnsi" w:cs="Arial-ItalicMT"/>
          <w:i/>
          <w:iCs/>
          <w:color w:val="000000"/>
          <w:sz w:val="22"/>
          <w:szCs w:val="22"/>
          <w:lang w:eastAsia="en-US"/>
        </w:rPr>
        <w:t>Because studies of large animal</w:t>
      </w:r>
      <w:r w:rsidR="00593C3E">
        <w:rPr>
          <w:rFonts w:asciiTheme="majorHAnsi" w:eastAsiaTheme="minorHAnsi" w:hAnsiTheme="majorHAnsi" w:cs="Arial-ItalicMT"/>
          <w:i/>
          <w:iCs/>
          <w:color w:val="000000"/>
          <w:sz w:val="22"/>
          <w:szCs w:val="22"/>
          <w:lang w:eastAsia="en-US"/>
        </w:rPr>
        <w:t xml:space="preserve"> </w:t>
      </w:r>
      <w:r w:rsidRPr="00274DCF">
        <w:rPr>
          <w:rFonts w:asciiTheme="majorHAnsi" w:eastAsiaTheme="minorHAnsi" w:hAnsiTheme="majorHAnsi" w:cs="Arial-ItalicMT"/>
          <w:i/>
          <w:iCs/>
          <w:color w:val="000000"/>
          <w:sz w:val="22"/>
          <w:szCs w:val="22"/>
          <w:lang w:eastAsia="en-US"/>
        </w:rPr>
        <w:t>bones have fallen out of favor since the molecular biology era</w:t>
      </w:r>
      <w:r w:rsidRPr="00274DCF">
        <w:rPr>
          <w:rFonts w:asciiTheme="majorHAnsi" w:eastAsiaTheme="minorHAnsi" w:hAnsiTheme="majorHAnsi" w:cs="ArialMT"/>
          <w:color w:val="000000"/>
          <w:sz w:val="22"/>
          <w:szCs w:val="22"/>
          <w:lang w:eastAsia="en-US"/>
        </w:rPr>
        <w:t xml:space="preserve">, we basically </w:t>
      </w:r>
      <w:r w:rsidRPr="00274DCF">
        <w:rPr>
          <w:rFonts w:asciiTheme="majorHAnsi" w:eastAsiaTheme="minorHAnsi" w:hAnsiTheme="majorHAnsi" w:cs="Arial-ItalicMT"/>
          <w:i/>
          <w:iCs/>
          <w:color w:val="000000"/>
          <w:sz w:val="22"/>
          <w:szCs w:val="22"/>
          <w:lang w:eastAsia="en-US"/>
        </w:rPr>
        <w:t>know very little about how osteons</w:t>
      </w:r>
      <w:r w:rsidR="00593C3E">
        <w:rPr>
          <w:rFonts w:asciiTheme="majorHAnsi" w:eastAsiaTheme="minorHAnsi" w:hAnsiTheme="majorHAnsi" w:cs="Arial-ItalicMT"/>
          <w:i/>
          <w:iCs/>
          <w:color w:val="000000"/>
          <w:sz w:val="22"/>
          <w:szCs w:val="22"/>
          <w:lang w:eastAsia="en-US"/>
        </w:rPr>
        <w:t xml:space="preserve"> </w:t>
      </w:r>
      <w:r w:rsidRPr="00274DCF">
        <w:rPr>
          <w:rFonts w:asciiTheme="majorHAnsi" w:eastAsiaTheme="minorHAnsi" w:hAnsiTheme="majorHAnsi" w:cs="Arial-ItalicMT"/>
          <w:i/>
          <w:iCs/>
          <w:color w:val="000000"/>
          <w:sz w:val="22"/>
          <w:szCs w:val="22"/>
          <w:lang w:eastAsia="en-US"/>
        </w:rPr>
        <w:t xml:space="preserve">are formed. </w:t>
      </w:r>
      <w:r w:rsidRPr="00274DCF">
        <w:rPr>
          <w:rFonts w:asciiTheme="majorHAnsi" w:eastAsiaTheme="minorHAnsi" w:hAnsiTheme="majorHAnsi" w:cs="ArialMT"/>
          <w:color w:val="000000"/>
          <w:sz w:val="22"/>
          <w:szCs w:val="22"/>
          <w:lang w:eastAsia="en-US"/>
        </w:rPr>
        <w:t>In this study, we first demonstrated that primary osteons in the embryonic dog femur bone are</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originated from both periosteum and endosteum layers proportionally (</w:t>
      </w:r>
      <w:r w:rsidRPr="00274DCF">
        <w:rPr>
          <w:rFonts w:asciiTheme="majorHAnsi" w:eastAsiaTheme="minorHAnsi" w:hAnsiTheme="majorHAnsi" w:cs="ArialMT"/>
          <w:color w:val="0070C1"/>
          <w:sz w:val="22"/>
          <w:szCs w:val="22"/>
          <w:lang w:eastAsia="en-US"/>
        </w:rPr>
        <w:t>Fig 1</w:t>
      </w:r>
      <w:r w:rsidRPr="00274DCF">
        <w:rPr>
          <w:rFonts w:asciiTheme="majorHAnsi" w:eastAsiaTheme="minorHAnsi" w:hAnsiTheme="majorHAnsi" w:cs="ArialMT"/>
          <w:color w:val="000000"/>
          <w:sz w:val="22"/>
          <w:szCs w:val="22"/>
          <w:lang w:eastAsia="en-US"/>
        </w:rPr>
        <w:t>). Next, we asked whether constant</w:t>
      </w:r>
    </w:p>
    <w:p w:rsidR="00274DCF" w:rsidRPr="00274DCF" w:rsidRDefault="00274DCF" w:rsidP="00274DCF">
      <w:pPr>
        <w:autoSpaceDE w:val="0"/>
        <w:autoSpaceDN w:val="0"/>
        <w:adjustRightInd w:val="0"/>
        <w:rPr>
          <w:rFonts w:asciiTheme="majorHAnsi" w:eastAsiaTheme="minorHAnsi" w:hAnsiTheme="majorHAnsi" w:cs="ArialMT"/>
          <w:color w:val="000000"/>
          <w:sz w:val="22"/>
          <w:szCs w:val="22"/>
          <w:lang w:eastAsia="en-US"/>
        </w:rPr>
      </w:pPr>
      <w:r w:rsidRPr="00274DCF">
        <w:rPr>
          <w:rFonts w:asciiTheme="majorHAnsi" w:eastAsiaTheme="minorHAnsi" w:hAnsiTheme="majorHAnsi" w:cs="ArialMT"/>
          <w:color w:val="000000"/>
          <w:sz w:val="22"/>
          <w:szCs w:val="22"/>
          <w:lang w:eastAsia="en-US"/>
        </w:rPr>
        <w:t>forces, which were generated for 5-weeks by open-coil springs anchored on miniscrew implants in the tibia</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with a force 0, and 200 g (right tibia) separately</w:t>
      </w:r>
      <w:r w:rsidRPr="00274DCF">
        <w:rPr>
          <w:rFonts w:asciiTheme="majorHAnsi" w:eastAsiaTheme="minorHAnsi" w:hAnsiTheme="majorHAnsi" w:cs="Microsoft-Yi-Baiti"/>
          <w:color w:val="000000"/>
          <w:sz w:val="22"/>
          <w:szCs w:val="22"/>
          <w:lang w:eastAsia="en-US"/>
        </w:rPr>
        <w:t xml:space="preserve">, </w:t>
      </w:r>
      <w:r w:rsidRPr="00274DCF">
        <w:rPr>
          <w:rFonts w:asciiTheme="majorHAnsi" w:eastAsiaTheme="minorHAnsi" w:hAnsiTheme="majorHAnsi" w:cs="ArialMT"/>
          <w:color w:val="000000"/>
          <w:sz w:val="22"/>
          <w:szCs w:val="22"/>
          <w:lang w:eastAsia="en-US"/>
        </w:rPr>
        <w:t xml:space="preserve">would </w:t>
      </w:r>
      <w:r w:rsidR="001275E8">
        <w:rPr>
          <w:rFonts w:asciiTheme="majorHAnsi" w:eastAsiaTheme="minorHAnsi" w:hAnsiTheme="majorHAnsi" w:cs="ArialMT"/>
          <w:color w:val="000000"/>
          <w:sz w:val="22"/>
          <w:szCs w:val="22"/>
          <w:lang w:eastAsia="en-US"/>
        </w:rPr>
        <w:t>a</w:t>
      </w:r>
      <w:r w:rsidR="001275E8" w:rsidRPr="00274DCF">
        <w:rPr>
          <w:rFonts w:asciiTheme="majorHAnsi" w:eastAsiaTheme="minorHAnsi" w:hAnsiTheme="majorHAnsi" w:cs="ArialMT"/>
          <w:color w:val="000000"/>
          <w:sz w:val="22"/>
          <w:szCs w:val="22"/>
          <w:lang w:eastAsia="en-US"/>
        </w:rPr>
        <w:t>ffect</w:t>
      </w:r>
      <w:r w:rsidRPr="00274DCF">
        <w:rPr>
          <w:rFonts w:asciiTheme="majorHAnsi" w:eastAsiaTheme="minorHAnsi" w:hAnsiTheme="majorHAnsi" w:cs="ArialMT"/>
          <w:color w:val="000000"/>
          <w:sz w:val="22"/>
          <w:szCs w:val="22"/>
          <w:lang w:eastAsia="en-US"/>
        </w:rPr>
        <w:t xml:space="preserve"> osteon formation (</w:t>
      </w:r>
      <w:r w:rsidRPr="00274DCF">
        <w:rPr>
          <w:rFonts w:asciiTheme="majorHAnsi" w:eastAsiaTheme="minorHAnsi" w:hAnsiTheme="majorHAnsi" w:cs="ArialMT"/>
          <w:color w:val="0070C1"/>
          <w:sz w:val="22"/>
          <w:szCs w:val="22"/>
          <w:lang w:eastAsia="en-US"/>
        </w:rPr>
        <w:t>Fig 2a</w:t>
      </w:r>
      <w:r w:rsidRPr="00274DCF">
        <w:rPr>
          <w:rFonts w:asciiTheme="majorHAnsi" w:eastAsiaTheme="minorHAnsi" w:hAnsiTheme="majorHAnsi" w:cs="ArialMT"/>
          <w:color w:val="000000"/>
          <w:sz w:val="22"/>
          <w:szCs w:val="22"/>
          <w:lang w:eastAsia="en-US"/>
        </w:rPr>
        <w:t>). In the loading groups</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(6 adult dogs), there were sharp increases in Haversian canals by uCT (</w:t>
      </w:r>
      <w:r w:rsidRPr="00274DCF">
        <w:rPr>
          <w:rFonts w:asciiTheme="majorHAnsi" w:eastAsiaTheme="minorHAnsi" w:hAnsiTheme="majorHAnsi" w:cs="ArialMT"/>
          <w:color w:val="0070C1"/>
          <w:sz w:val="22"/>
          <w:szCs w:val="22"/>
          <w:lang w:eastAsia="en-US"/>
        </w:rPr>
        <w:t>Fig 2b</w:t>
      </w:r>
      <w:r w:rsidRPr="00274DCF">
        <w:rPr>
          <w:rFonts w:asciiTheme="majorHAnsi" w:eastAsiaTheme="minorHAnsi" w:hAnsiTheme="majorHAnsi" w:cs="ArialMT"/>
          <w:color w:val="000000"/>
          <w:sz w:val="22"/>
          <w:szCs w:val="22"/>
          <w:lang w:eastAsia="en-US"/>
        </w:rPr>
        <w:t>). The images of backscattered</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SEM and triple labeling (with 10 day apart) displayed many newly formed osteons, which were mainly derived</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from the expanded periosteum layer (</w:t>
      </w:r>
      <w:r w:rsidRPr="00274DCF">
        <w:rPr>
          <w:rFonts w:asciiTheme="majorHAnsi" w:eastAsiaTheme="minorHAnsi" w:hAnsiTheme="majorHAnsi" w:cs="ArialMT"/>
          <w:color w:val="0070C1"/>
          <w:sz w:val="22"/>
          <w:szCs w:val="22"/>
          <w:lang w:eastAsia="en-US"/>
        </w:rPr>
        <w:t>Fig 3</w:t>
      </w:r>
      <w:r w:rsidRPr="00274DCF">
        <w:rPr>
          <w:rFonts w:asciiTheme="majorHAnsi" w:eastAsiaTheme="minorHAnsi" w:hAnsiTheme="majorHAnsi" w:cs="ArialMT"/>
          <w:color w:val="000000"/>
          <w:sz w:val="22"/>
          <w:szCs w:val="22"/>
          <w:lang w:eastAsia="en-US"/>
        </w:rPr>
        <w:t>). These newly formed osteons expressed high levels of endothelial</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and bone markers, including VEGF, periostin, OSX and BSP (</w:t>
      </w:r>
      <w:r w:rsidRPr="00274DCF">
        <w:rPr>
          <w:rFonts w:asciiTheme="majorHAnsi" w:eastAsiaTheme="minorHAnsi" w:hAnsiTheme="majorHAnsi" w:cs="ArialMT"/>
          <w:color w:val="0070C1"/>
          <w:sz w:val="22"/>
          <w:szCs w:val="22"/>
          <w:lang w:eastAsia="en-US"/>
        </w:rPr>
        <w:t>Fig 4</w:t>
      </w:r>
      <w:r w:rsidRPr="00274DCF">
        <w:rPr>
          <w:rFonts w:asciiTheme="majorHAnsi" w:eastAsiaTheme="minorHAnsi" w:hAnsiTheme="majorHAnsi" w:cs="ArialMT"/>
          <w:color w:val="000000"/>
          <w:sz w:val="22"/>
          <w:szCs w:val="22"/>
          <w:lang w:eastAsia="en-US"/>
        </w:rPr>
        <w:t>). This asymmetric contribution of osteon</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formation from the periosteum prompted us to initiate a different set of experiments, in which we tested the</w:t>
      </w:r>
      <w:r w:rsidR="00563E12">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impact of intermittent injections of PTH on wild type mice and 4 young adult dogs (10 ug/kg per day for four</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weeks). Interestingly, the increased bone volume was associated with the expanded endosteum layer in mice</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w:t>
      </w:r>
      <w:r w:rsidRPr="00274DCF">
        <w:rPr>
          <w:rFonts w:asciiTheme="majorHAnsi" w:eastAsiaTheme="minorHAnsi" w:hAnsiTheme="majorHAnsi" w:cs="ArialMT"/>
          <w:color w:val="0070C1"/>
          <w:sz w:val="22"/>
          <w:szCs w:val="22"/>
          <w:lang w:eastAsia="en-US"/>
        </w:rPr>
        <w:t>Fig 5</w:t>
      </w:r>
      <w:r w:rsidRPr="00274DCF">
        <w:rPr>
          <w:rFonts w:asciiTheme="majorHAnsi" w:eastAsiaTheme="minorHAnsi" w:hAnsiTheme="majorHAnsi" w:cs="ArialMT"/>
          <w:color w:val="000000"/>
          <w:sz w:val="22"/>
          <w:szCs w:val="22"/>
          <w:lang w:eastAsia="en-US"/>
        </w:rPr>
        <w:t>, left). Similarly, bone volume expansions occurred in the PTH treated dogs, in which the lamellar</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structures on the endosteum side were replaced by the newly formed osteons (</w:t>
      </w:r>
      <w:r w:rsidRPr="00274DCF">
        <w:rPr>
          <w:rFonts w:asciiTheme="majorHAnsi" w:eastAsiaTheme="minorHAnsi" w:hAnsiTheme="majorHAnsi" w:cs="ArialMT"/>
          <w:color w:val="0070C1"/>
          <w:sz w:val="22"/>
          <w:szCs w:val="22"/>
          <w:lang w:eastAsia="en-US"/>
        </w:rPr>
        <w:t>Fig 5</w:t>
      </w:r>
      <w:r w:rsidRPr="00274DCF">
        <w:rPr>
          <w:rFonts w:asciiTheme="majorHAnsi" w:eastAsiaTheme="minorHAnsi" w:hAnsiTheme="majorHAnsi" w:cs="ArialMT"/>
          <w:color w:val="000000"/>
          <w:sz w:val="22"/>
          <w:szCs w:val="22"/>
          <w:lang w:eastAsia="en-US"/>
        </w:rPr>
        <w:t>, right). We then asked</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whether similar events would occur in intramembranous bone in response to mechanical loading. Using tooth</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movement model, we observed numerous newly formed osteons by backscattered SEM and triple labeling</w:t>
      </w:r>
      <w:r w:rsidR="00563E12">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images (</w:t>
      </w:r>
      <w:r w:rsidRPr="00274DCF">
        <w:rPr>
          <w:rFonts w:asciiTheme="majorHAnsi" w:eastAsiaTheme="minorHAnsi" w:hAnsiTheme="majorHAnsi" w:cs="ArialMT"/>
          <w:color w:val="0070C1"/>
          <w:sz w:val="22"/>
          <w:szCs w:val="22"/>
          <w:lang w:eastAsia="en-US"/>
        </w:rPr>
        <w:t>Fig 6</w:t>
      </w:r>
      <w:r w:rsidRPr="00274DCF">
        <w:rPr>
          <w:rFonts w:asciiTheme="majorHAnsi" w:eastAsiaTheme="minorHAnsi" w:hAnsiTheme="majorHAnsi" w:cs="ArialMT"/>
          <w:color w:val="000000"/>
          <w:sz w:val="22"/>
          <w:szCs w:val="22"/>
          <w:lang w:eastAsia="en-US"/>
        </w:rPr>
        <w:t>). This newly formed bone was originated from the periodontal ligaments (PDL). Collectively,</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these data for the first time revealed that 1) osteons are formed from both periosteum and endosteum layers</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during embryonic dog bone formation; 2) the mechanical loading initiates osteon formation from the periosteum</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layer; 3) the PTH induced osteon formation is mainly originated from the endosteum side; and 4) the osteon</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formation stimulated by tooth movement is from the PDL (</w:t>
      </w:r>
      <w:r w:rsidRPr="00274DCF">
        <w:rPr>
          <w:rFonts w:asciiTheme="majorHAnsi" w:eastAsiaTheme="minorHAnsi" w:hAnsiTheme="majorHAnsi" w:cs="ArialMT"/>
          <w:color w:val="0070C1"/>
          <w:sz w:val="22"/>
          <w:szCs w:val="22"/>
          <w:lang w:eastAsia="en-US"/>
        </w:rPr>
        <w:t>Fig 7</w:t>
      </w:r>
      <w:r w:rsidRPr="00274DCF">
        <w:rPr>
          <w:rFonts w:asciiTheme="majorHAnsi" w:eastAsiaTheme="minorHAnsi" w:hAnsiTheme="majorHAnsi" w:cs="ArialMT"/>
          <w:color w:val="000000"/>
          <w:sz w:val="22"/>
          <w:szCs w:val="22"/>
          <w:lang w:eastAsia="en-US"/>
        </w:rPr>
        <w:t>). Based on these exciting data, we conclude</w:t>
      </w:r>
    </w:p>
    <w:p w:rsidR="00274DCF" w:rsidRDefault="00274DCF" w:rsidP="00274DCF">
      <w:pPr>
        <w:autoSpaceDE w:val="0"/>
        <w:autoSpaceDN w:val="0"/>
        <w:adjustRightInd w:val="0"/>
        <w:rPr>
          <w:rFonts w:asciiTheme="majorHAnsi" w:eastAsiaTheme="minorHAnsi" w:hAnsiTheme="majorHAnsi" w:cs="ArialMT"/>
          <w:color w:val="000000"/>
          <w:sz w:val="22"/>
          <w:szCs w:val="22"/>
          <w:lang w:eastAsia="en-US"/>
        </w:rPr>
      </w:pPr>
      <w:r w:rsidRPr="00274DCF">
        <w:rPr>
          <w:rFonts w:asciiTheme="majorHAnsi" w:eastAsiaTheme="minorHAnsi" w:hAnsiTheme="majorHAnsi" w:cs="ArialMT"/>
          <w:color w:val="000000"/>
          <w:sz w:val="22"/>
          <w:szCs w:val="22"/>
          <w:lang w:eastAsia="en-US"/>
        </w:rPr>
        <w:t>that there are different progenitor cell pools, which are responsible for osteon formation in different</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physiological status.</w:t>
      </w:r>
    </w:p>
    <w:p w:rsidR="00593C3E" w:rsidRDefault="00593C3E" w:rsidP="00274DCF">
      <w:pPr>
        <w:autoSpaceDE w:val="0"/>
        <w:autoSpaceDN w:val="0"/>
        <w:adjustRightInd w:val="0"/>
        <w:rPr>
          <w:rFonts w:asciiTheme="majorHAnsi" w:eastAsiaTheme="minorHAnsi" w:hAnsiTheme="majorHAnsi" w:cs="ArialMT"/>
          <w:color w:val="000000"/>
          <w:sz w:val="22"/>
          <w:szCs w:val="22"/>
          <w:lang w:eastAsia="en-US"/>
        </w:rPr>
      </w:pPr>
      <w:r w:rsidRPr="00593C3E">
        <w:rPr>
          <w:rFonts w:asciiTheme="majorHAnsi" w:eastAsiaTheme="minorHAnsi" w:hAnsiTheme="majorHAnsi" w:cs="ArialMT"/>
          <w:noProof/>
          <w:color w:val="000000"/>
          <w:sz w:val="22"/>
          <w:szCs w:val="22"/>
          <w:lang w:eastAsia="en-US"/>
        </w:rPr>
        <w:drawing>
          <wp:inline distT="0" distB="0" distL="0" distR="0">
            <wp:extent cx="4371975" cy="2705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2705100"/>
                    </a:xfrm>
                    <a:prstGeom prst="rect">
                      <a:avLst/>
                    </a:prstGeom>
                    <a:noFill/>
                    <a:ln>
                      <a:noFill/>
                    </a:ln>
                  </pic:spPr>
                </pic:pic>
              </a:graphicData>
            </a:graphic>
          </wp:inline>
        </w:drawing>
      </w:r>
    </w:p>
    <w:p w:rsidR="00593C3E" w:rsidRPr="00274DCF" w:rsidRDefault="00593C3E" w:rsidP="00274DCF">
      <w:pPr>
        <w:autoSpaceDE w:val="0"/>
        <w:autoSpaceDN w:val="0"/>
        <w:adjustRightInd w:val="0"/>
        <w:rPr>
          <w:rFonts w:asciiTheme="majorHAnsi" w:eastAsiaTheme="minorHAnsi" w:hAnsiTheme="majorHAnsi" w:cs="ArialMT"/>
          <w:color w:val="000000"/>
          <w:sz w:val="22"/>
          <w:szCs w:val="22"/>
          <w:lang w:eastAsia="en-US"/>
        </w:rPr>
      </w:pPr>
    </w:p>
    <w:p w:rsidR="00274DCF" w:rsidRPr="00274DCF" w:rsidRDefault="00274DCF" w:rsidP="00274DCF">
      <w:pPr>
        <w:autoSpaceDE w:val="0"/>
        <w:autoSpaceDN w:val="0"/>
        <w:adjustRightInd w:val="0"/>
        <w:rPr>
          <w:rFonts w:asciiTheme="majorHAnsi" w:eastAsiaTheme="minorHAnsi" w:hAnsiTheme="majorHAnsi" w:cs="ArialMT"/>
          <w:color w:val="000000"/>
          <w:sz w:val="22"/>
          <w:szCs w:val="22"/>
          <w:lang w:eastAsia="en-US"/>
        </w:rPr>
      </w:pPr>
      <w:r w:rsidRPr="00274DCF">
        <w:rPr>
          <w:rFonts w:asciiTheme="majorHAnsi" w:eastAsiaTheme="minorHAnsi" w:hAnsiTheme="majorHAnsi" w:cs="ArialMT"/>
          <w:color w:val="0070C1"/>
          <w:sz w:val="22"/>
          <w:szCs w:val="22"/>
          <w:lang w:eastAsia="en-US"/>
        </w:rPr>
        <w:t>Fig 1</w:t>
      </w:r>
      <w:r w:rsidRPr="00274DCF">
        <w:rPr>
          <w:rFonts w:asciiTheme="majorHAnsi" w:eastAsiaTheme="minorHAnsi" w:hAnsiTheme="majorHAnsi" w:cs="ArialMT"/>
          <w:color w:val="000000"/>
          <w:sz w:val="22"/>
          <w:szCs w:val="22"/>
          <w:lang w:eastAsia="en-US"/>
        </w:rPr>
        <w:t>. The dog primary osteons are formed from</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both periosteum and endosteum layers during</w:t>
      </w:r>
    </w:p>
    <w:p w:rsidR="00274DCF" w:rsidRDefault="00274DCF" w:rsidP="00274DCF">
      <w:pPr>
        <w:autoSpaceDE w:val="0"/>
        <w:autoSpaceDN w:val="0"/>
        <w:adjustRightInd w:val="0"/>
        <w:rPr>
          <w:rFonts w:asciiTheme="majorHAnsi" w:eastAsiaTheme="minorHAnsi" w:hAnsiTheme="majorHAnsi" w:cs="ArialMT"/>
          <w:color w:val="000000"/>
          <w:sz w:val="22"/>
          <w:szCs w:val="22"/>
          <w:lang w:eastAsia="en-US"/>
        </w:rPr>
      </w:pPr>
      <w:r w:rsidRPr="00274DCF">
        <w:rPr>
          <w:rFonts w:asciiTheme="majorHAnsi" w:eastAsiaTheme="minorHAnsi" w:hAnsiTheme="majorHAnsi" w:cs="ArialMT"/>
          <w:color w:val="000000"/>
          <w:sz w:val="22"/>
          <w:szCs w:val="22"/>
          <w:lang w:eastAsia="en-US"/>
        </w:rPr>
        <w:t>embryonic development.</w:t>
      </w:r>
    </w:p>
    <w:p w:rsidR="00593C3E" w:rsidRDefault="00593C3E" w:rsidP="00274DCF">
      <w:pPr>
        <w:autoSpaceDE w:val="0"/>
        <w:autoSpaceDN w:val="0"/>
        <w:adjustRightInd w:val="0"/>
        <w:rPr>
          <w:rFonts w:asciiTheme="majorHAnsi" w:eastAsiaTheme="minorHAnsi" w:hAnsiTheme="majorHAnsi" w:cs="ArialMT"/>
          <w:color w:val="000000"/>
          <w:sz w:val="22"/>
          <w:szCs w:val="22"/>
          <w:lang w:eastAsia="en-US"/>
        </w:rPr>
      </w:pPr>
    </w:p>
    <w:p w:rsidR="00593C3E" w:rsidRDefault="00593C3E" w:rsidP="00274DCF">
      <w:pPr>
        <w:autoSpaceDE w:val="0"/>
        <w:autoSpaceDN w:val="0"/>
        <w:adjustRightInd w:val="0"/>
        <w:rPr>
          <w:rFonts w:asciiTheme="majorHAnsi" w:eastAsiaTheme="minorHAnsi" w:hAnsiTheme="majorHAnsi" w:cs="ArialMT"/>
          <w:color w:val="000000"/>
          <w:sz w:val="22"/>
          <w:szCs w:val="22"/>
          <w:lang w:eastAsia="en-US"/>
        </w:rPr>
      </w:pPr>
      <w:r w:rsidRPr="00593C3E">
        <w:rPr>
          <w:rFonts w:asciiTheme="majorHAnsi" w:eastAsiaTheme="minorHAnsi" w:hAnsiTheme="majorHAnsi" w:cs="ArialMT"/>
          <w:noProof/>
          <w:color w:val="000000"/>
          <w:sz w:val="22"/>
          <w:szCs w:val="22"/>
          <w:lang w:eastAsia="en-US"/>
        </w:rPr>
        <w:drawing>
          <wp:inline distT="0" distB="0" distL="0" distR="0">
            <wp:extent cx="5600055" cy="2682379"/>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4774" cy="2684639"/>
                    </a:xfrm>
                    <a:prstGeom prst="rect">
                      <a:avLst/>
                    </a:prstGeom>
                    <a:noFill/>
                    <a:ln>
                      <a:noFill/>
                    </a:ln>
                  </pic:spPr>
                </pic:pic>
              </a:graphicData>
            </a:graphic>
          </wp:inline>
        </w:drawing>
      </w:r>
    </w:p>
    <w:p w:rsidR="00593C3E" w:rsidRPr="00274DCF" w:rsidRDefault="00593C3E" w:rsidP="00274DCF">
      <w:pPr>
        <w:autoSpaceDE w:val="0"/>
        <w:autoSpaceDN w:val="0"/>
        <w:adjustRightInd w:val="0"/>
        <w:rPr>
          <w:rFonts w:asciiTheme="majorHAnsi" w:eastAsiaTheme="minorHAnsi" w:hAnsiTheme="majorHAnsi" w:cs="ArialMT"/>
          <w:color w:val="000000"/>
          <w:sz w:val="22"/>
          <w:szCs w:val="22"/>
          <w:lang w:eastAsia="en-US"/>
        </w:rPr>
      </w:pPr>
    </w:p>
    <w:p w:rsidR="00274DCF" w:rsidRDefault="00274DCF" w:rsidP="00274DCF">
      <w:pPr>
        <w:autoSpaceDE w:val="0"/>
        <w:autoSpaceDN w:val="0"/>
        <w:adjustRightInd w:val="0"/>
        <w:rPr>
          <w:rFonts w:asciiTheme="majorHAnsi" w:eastAsiaTheme="minorHAnsi" w:hAnsiTheme="majorHAnsi" w:cs="ArialMT"/>
          <w:color w:val="000000"/>
          <w:sz w:val="22"/>
          <w:szCs w:val="22"/>
          <w:lang w:eastAsia="en-US"/>
        </w:rPr>
      </w:pPr>
      <w:r w:rsidRPr="00274DCF">
        <w:rPr>
          <w:rFonts w:asciiTheme="majorHAnsi" w:eastAsiaTheme="minorHAnsi" w:hAnsiTheme="majorHAnsi" w:cs="ArialMT"/>
          <w:color w:val="0070C1"/>
          <w:sz w:val="22"/>
          <w:szCs w:val="22"/>
          <w:lang w:eastAsia="en-US"/>
        </w:rPr>
        <w:t>Fig 2</w:t>
      </w:r>
      <w:r w:rsidRPr="00274DCF">
        <w:rPr>
          <w:rFonts w:asciiTheme="majorHAnsi" w:eastAsiaTheme="minorHAnsi" w:hAnsiTheme="majorHAnsi" w:cs="ArialMT"/>
          <w:color w:val="000000"/>
          <w:sz w:val="22"/>
          <w:szCs w:val="22"/>
          <w:lang w:eastAsia="en-US"/>
        </w:rPr>
        <w:t>. The loading increases the bone volume by</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radiograph (</w:t>
      </w:r>
      <w:r w:rsidRPr="00274DCF">
        <w:rPr>
          <w:rFonts w:asciiTheme="majorHAnsi" w:eastAsiaTheme="minorHAnsi" w:hAnsiTheme="majorHAnsi" w:cs="Arial-BoldMT"/>
          <w:b/>
          <w:bCs/>
          <w:color w:val="000000"/>
          <w:sz w:val="22"/>
          <w:szCs w:val="22"/>
          <w:lang w:eastAsia="en-US"/>
        </w:rPr>
        <w:t xml:space="preserve">a, </w:t>
      </w:r>
      <w:r w:rsidRPr="00274DCF">
        <w:rPr>
          <w:rFonts w:asciiTheme="majorHAnsi" w:eastAsiaTheme="minorHAnsi" w:hAnsiTheme="majorHAnsi" w:cs="ArialMT"/>
          <w:color w:val="000000"/>
          <w:sz w:val="22"/>
          <w:szCs w:val="22"/>
          <w:lang w:eastAsia="en-US"/>
        </w:rPr>
        <w:t>right) and Haversian canals by uCT (</w:t>
      </w:r>
      <w:r w:rsidRPr="00274DCF">
        <w:rPr>
          <w:rFonts w:asciiTheme="majorHAnsi" w:eastAsiaTheme="minorHAnsi" w:hAnsiTheme="majorHAnsi" w:cs="Arial-BoldMT"/>
          <w:b/>
          <w:bCs/>
          <w:color w:val="000000"/>
          <w:sz w:val="22"/>
          <w:szCs w:val="22"/>
          <w:lang w:eastAsia="en-US"/>
        </w:rPr>
        <w:t>b</w:t>
      </w:r>
      <w:r w:rsidRPr="00274DCF">
        <w:rPr>
          <w:rFonts w:asciiTheme="majorHAnsi" w:eastAsiaTheme="minorHAnsi" w:hAnsiTheme="majorHAnsi" w:cs="ArialMT"/>
          <w:color w:val="000000"/>
          <w:sz w:val="22"/>
          <w:szCs w:val="22"/>
          <w:lang w:eastAsia="en-US"/>
        </w:rPr>
        <w:t>, right)</w:t>
      </w:r>
    </w:p>
    <w:p w:rsidR="00593C3E" w:rsidRDefault="00593C3E" w:rsidP="00274DCF">
      <w:pPr>
        <w:autoSpaceDE w:val="0"/>
        <w:autoSpaceDN w:val="0"/>
        <w:adjustRightInd w:val="0"/>
        <w:rPr>
          <w:rFonts w:asciiTheme="majorHAnsi" w:eastAsiaTheme="minorHAnsi" w:hAnsiTheme="majorHAnsi" w:cs="ArialMT"/>
          <w:color w:val="000000"/>
          <w:sz w:val="22"/>
          <w:szCs w:val="22"/>
          <w:lang w:eastAsia="en-US"/>
        </w:rPr>
      </w:pPr>
    </w:p>
    <w:p w:rsidR="00593C3E" w:rsidRPr="00274DCF" w:rsidRDefault="00593C3E" w:rsidP="00274DCF">
      <w:pPr>
        <w:autoSpaceDE w:val="0"/>
        <w:autoSpaceDN w:val="0"/>
        <w:adjustRightInd w:val="0"/>
        <w:rPr>
          <w:rFonts w:asciiTheme="majorHAnsi" w:eastAsiaTheme="minorHAnsi" w:hAnsiTheme="majorHAnsi" w:cs="ArialMT"/>
          <w:color w:val="000000"/>
          <w:sz w:val="22"/>
          <w:szCs w:val="22"/>
          <w:lang w:eastAsia="en-US"/>
        </w:rPr>
      </w:pPr>
      <w:r w:rsidRPr="00593C3E">
        <w:rPr>
          <w:rFonts w:asciiTheme="majorHAnsi" w:eastAsiaTheme="minorHAnsi" w:hAnsiTheme="majorHAnsi" w:cs="ArialMT"/>
          <w:noProof/>
          <w:color w:val="000000"/>
          <w:sz w:val="22"/>
          <w:szCs w:val="22"/>
          <w:lang w:eastAsia="en-US"/>
        </w:rPr>
        <w:drawing>
          <wp:inline distT="0" distB="0" distL="0" distR="0">
            <wp:extent cx="5486400" cy="942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942575"/>
                    </a:xfrm>
                    <a:prstGeom prst="rect">
                      <a:avLst/>
                    </a:prstGeom>
                    <a:noFill/>
                    <a:ln>
                      <a:noFill/>
                    </a:ln>
                  </pic:spPr>
                </pic:pic>
              </a:graphicData>
            </a:graphic>
          </wp:inline>
        </w:drawing>
      </w:r>
    </w:p>
    <w:p w:rsidR="00274DCF" w:rsidRDefault="00274DCF" w:rsidP="00274DCF">
      <w:pPr>
        <w:autoSpaceDE w:val="0"/>
        <w:autoSpaceDN w:val="0"/>
        <w:adjustRightInd w:val="0"/>
        <w:rPr>
          <w:rFonts w:asciiTheme="majorHAnsi" w:eastAsiaTheme="minorHAnsi" w:hAnsiTheme="majorHAnsi" w:cs="ArialMT"/>
          <w:color w:val="000000"/>
          <w:sz w:val="22"/>
          <w:szCs w:val="22"/>
          <w:lang w:eastAsia="en-US"/>
        </w:rPr>
      </w:pPr>
      <w:r w:rsidRPr="00274DCF">
        <w:rPr>
          <w:rFonts w:asciiTheme="majorHAnsi" w:eastAsiaTheme="minorHAnsi" w:hAnsiTheme="majorHAnsi" w:cs="ArialMT"/>
          <w:color w:val="0070C1"/>
          <w:sz w:val="22"/>
          <w:szCs w:val="22"/>
          <w:lang w:eastAsia="en-US"/>
        </w:rPr>
        <w:t>Fig 3</w:t>
      </w:r>
      <w:r w:rsidRPr="00274DCF">
        <w:rPr>
          <w:rFonts w:asciiTheme="majorHAnsi" w:eastAsiaTheme="minorHAnsi" w:hAnsiTheme="majorHAnsi" w:cs="ArialMT"/>
          <w:color w:val="000000"/>
          <w:sz w:val="22"/>
          <w:szCs w:val="22"/>
          <w:lang w:eastAsia="en-US"/>
        </w:rPr>
        <w:t>. The loading increases the osteon formation by backscattered SEM (</w:t>
      </w:r>
      <w:r w:rsidRPr="00274DCF">
        <w:rPr>
          <w:rFonts w:asciiTheme="majorHAnsi" w:eastAsiaTheme="minorHAnsi" w:hAnsiTheme="majorHAnsi" w:cs="Arial-BoldMT"/>
          <w:b/>
          <w:bCs/>
          <w:color w:val="000000"/>
          <w:sz w:val="22"/>
          <w:szCs w:val="22"/>
          <w:lang w:eastAsia="en-US"/>
        </w:rPr>
        <w:t>a</w:t>
      </w:r>
      <w:r w:rsidRPr="00274DCF">
        <w:rPr>
          <w:rFonts w:asciiTheme="majorHAnsi" w:eastAsiaTheme="minorHAnsi" w:hAnsiTheme="majorHAnsi" w:cs="ArialMT"/>
          <w:color w:val="000000"/>
          <w:sz w:val="22"/>
          <w:szCs w:val="22"/>
          <w:lang w:eastAsia="en-US"/>
        </w:rPr>
        <w:t>, right) and</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mineralization by the triple labeling</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(calcein first, alizarin red second and calcein last with a 10 day gap with each injections (</w:t>
      </w:r>
      <w:r w:rsidRPr="00274DCF">
        <w:rPr>
          <w:rFonts w:asciiTheme="majorHAnsi" w:eastAsiaTheme="minorHAnsi" w:hAnsiTheme="majorHAnsi" w:cs="Arial-BoldMT"/>
          <w:b/>
          <w:bCs/>
          <w:color w:val="000000"/>
          <w:sz w:val="22"/>
          <w:szCs w:val="22"/>
          <w:lang w:eastAsia="en-US"/>
        </w:rPr>
        <w:t>b</w:t>
      </w:r>
      <w:r w:rsidRPr="00274DCF">
        <w:rPr>
          <w:rFonts w:asciiTheme="majorHAnsi" w:eastAsiaTheme="minorHAnsi" w:hAnsiTheme="majorHAnsi" w:cs="ArialMT"/>
          <w:color w:val="000000"/>
          <w:sz w:val="22"/>
          <w:szCs w:val="22"/>
          <w:lang w:eastAsia="en-US"/>
        </w:rPr>
        <w:t>, right).</w:t>
      </w:r>
    </w:p>
    <w:p w:rsidR="00593C3E" w:rsidRDefault="00593C3E" w:rsidP="00274DCF">
      <w:pPr>
        <w:autoSpaceDE w:val="0"/>
        <w:autoSpaceDN w:val="0"/>
        <w:adjustRightInd w:val="0"/>
        <w:rPr>
          <w:rFonts w:asciiTheme="majorHAnsi" w:eastAsiaTheme="minorHAnsi" w:hAnsiTheme="majorHAnsi" w:cs="ArialMT"/>
          <w:color w:val="000000"/>
          <w:sz w:val="22"/>
          <w:szCs w:val="22"/>
          <w:lang w:eastAsia="en-US"/>
        </w:rPr>
      </w:pPr>
      <w:r w:rsidRPr="00593C3E">
        <w:rPr>
          <w:rFonts w:asciiTheme="majorHAnsi" w:eastAsiaTheme="minorHAnsi" w:hAnsiTheme="majorHAnsi" w:cs="ArialMT"/>
          <w:noProof/>
          <w:color w:val="000000"/>
          <w:sz w:val="22"/>
          <w:szCs w:val="22"/>
          <w:lang w:eastAsia="en-US"/>
        </w:rPr>
        <w:drawing>
          <wp:inline distT="0" distB="0" distL="0" distR="0">
            <wp:extent cx="5486400" cy="178217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782173"/>
                    </a:xfrm>
                    <a:prstGeom prst="rect">
                      <a:avLst/>
                    </a:prstGeom>
                    <a:noFill/>
                    <a:ln>
                      <a:noFill/>
                    </a:ln>
                  </pic:spPr>
                </pic:pic>
              </a:graphicData>
            </a:graphic>
          </wp:inline>
        </w:drawing>
      </w:r>
    </w:p>
    <w:p w:rsidR="00593C3E" w:rsidRPr="00274DCF" w:rsidRDefault="00593C3E" w:rsidP="00274DCF">
      <w:pPr>
        <w:autoSpaceDE w:val="0"/>
        <w:autoSpaceDN w:val="0"/>
        <w:adjustRightInd w:val="0"/>
        <w:rPr>
          <w:rFonts w:asciiTheme="majorHAnsi" w:eastAsiaTheme="minorHAnsi" w:hAnsiTheme="majorHAnsi" w:cs="ArialMT"/>
          <w:color w:val="000000"/>
          <w:sz w:val="22"/>
          <w:szCs w:val="22"/>
          <w:lang w:eastAsia="en-US"/>
        </w:rPr>
      </w:pPr>
    </w:p>
    <w:p w:rsidR="00274DCF" w:rsidRDefault="00274DCF" w:rsidP="00274DCF">
      <w:pPr>
        <w:autoSpaceDE w:val="0"/>
        <w:autoSpaceDN w:val="0"/>
        <w:adjustRightInd w:val="0"/>
        <w:rPr>
          <w:rFonts w:asciiTheme="majorHAnsi" w:eastAsiaTheme="minorHAnsi" w:hAnsiTheme="majorHAnsi" w:cs="ArialMT"/>
          <w:color w:val="000000"/>
          <w:sz w:val="22"/>
          <w:szCs w:val="22"/>
          <w:lang w:eastAsia="en-US"/>
        </w:rPr>
      </w:pPr>
      <w:r w:rsidRPr="00274DCF">
        <w:rPr>
          <w:rFonts w:asciiTheme="majorHAnsi" w:eastAsiaTheme="minorHAnsi" w:hAnsiTheme="majorHAnsi" w:cs="ArialMT"/>
          <w:color w:val="0070C1"/>
          <w:sz w:val="22"/>
          <w:szCs w:val="22"/>
          <w:lang w:eastAsia="en-US"/>
        </w:rPr>
        <w:t>Fig 4</w:t>
      </w:r>
      <w:r w:rsidRPr="00274DCF">
        <w:rPr>
          <w:rFonts w:asciiTheme="majorHAnsi" w:eastAsiaTheme="minorHAnsi" w:hAnsiTheme="majorHAnsi" w:cs="ArialMT"/>
          <w:color w:val="000000"/>
          <w:sz w:val="22"/>
          <w:szCs w:val="22"/>
          <w:lang w:eastAsia="en-US"/>
        </w:rPr>
        <w:t>. The loading increases expressions of markers critical for vessels and bone formation (right panels), including VEGF</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for endothelial cells (Upper left), osterix (OSX, an essential transcription factor for bone formation, upper right), periostin</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(a marker for periosteum, lower left), and BSP (a marker for bone cells, lower right).</w:t>
      </w:r>
    </w:p>
    <w:p w:rsidR="00593C3E" w:rsidRDefault="00593C3E" w:rsidP="00274DCF">
      <w:pPr>
        <w:autoSpaceDE w:val="0"/>
        <w:autoSpaceDN w:val="0"/>
        <w:adjustRightInd w:val="0"/>
        <w:rPr>
          <w:rFonts w:asciiTheme="majorHAnsi" w:eastAsiaTheme="minorHAnsi" w:hAnsiTheme="majorHAnsi" w:cs="ArialMT"/>
          <w:color w:val="000000"/>
          <w:sz w:val="22"/>
          <w:szCs w:val="22"/>
          <w:lang w:eastAsia="en-US"/>
        </w:rPr>
      </w:pPr>
    </w:p>
    <w:p w:rsidR="00593C3E" w:rsidRDefault="00593C3E" w:rsidP="00274DCF">
      <w:pPr>
        <w:autoSpaceDE w:val="0"/>
        <w:autoSpaceDN w:val="0"/>
        <w:adjustRightInd w:val="0"/>
        <w:rPr>
          <w:rFonts w:asciiTheme="majorHAnsi" w:eastAsiaTheme="minorHAnsi" w:hAnsiTheme="majorHAnsi" w:cs="ArialMT"/>
          <w:color w:val="000000"/>
          <w:sz w:val="22"/>
          <w:szCs w:val="22"/>
          <w:lang w:eastAsia="en-US"/>
        </w:rPr>
      </w:pPr>
      <w:r w:rsidRPr="00593C3E">
        <w:rPr>
          <w:rFonts w:asciiTheme="majorHAnsi" w:eastAsiaTheme="minorHAnsi" w:hAnsiTheme="majorHAnsi" w:cs="ArialMT"/>
          <w:noProof/>
          <w:color w:val="000000"/>
          <w:sz w:val="22"/>
          <w:szCs w:val="22"/>
          <w:lang w:eastAsia="en-US"/>
        </w:rPr>
        <w:drawing>
          <wp:inline distT="0" distB="0" distL="0" distR="0">
            <wp:extent cx="5486400" cy="180565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805651"/>
                    </a:xfrm>
                    <a:prstGeom prst="rect">
                      <a:avLst/>
                    </a:prstGeom>
                    <a:noFill/>
                    <a:ln>
                      <a:noFill/>
                    </a:ln>
                  </pic:spPr>
                </pic:pic>
              </a:graphicData>
            </a:graphic>
          </wp:inline>
        </w:drawing>
      </w:r>
    </w:p>
    <w:p w:rsidR="00593C3E" w:rsidRPr="00274DCF" w:rsidRDefault="00593C3E" w:rsidP="00274DCF">
      <w:pPr>
        <w:autoSpaceDE w:val="0"/>
        <w:autoSpaceDN w:val="0"/>
        <w:adjustRightInd w:val="0"/>
        <w:rPr>
          <w:rFonts w:asciiTheme="majorHAnsi" w:eastAsiaTheme="minorHAnsi" w:hAnsiTheme="majorHAnsi" w:cs="ArialMT"/>
          <w:color w:val="000000"/>
          <w:sz w:val="22"/>
          <w:szCs w:val="22"/>
          <w:lang w:eastAsia="en-US"/>
        </w:rPr>
      </w:pPr>
    </w:p>
    <w:p w:rsidR="00274DCF" w:rsidRDefault="00274DCF" w:rsidP="00274DCF">
      <w:pPr>
        <w:autoSpaceDE w:val="0"/>
        <w:autoSpaceDN w:val="0"/>
        <w:adjustRightInd w:val="0"/>
        <w:rPr>
          <w:rFonts w:asciiTheme="majorHAnsi" w:eastAsiaTheme="minorHAnsi" w:hAnsiTheme="majorHAnsi" w:cs="ArialMT"/>
          <w:color w:val="000000"/>
          <w:sz w:val="22"/>
          <w:szCs w:val="22"/>
          <w:lang w:eastAsia="en-US"/>
        </w:rPr>
      </w:pPr>
      <w:r w:rsidRPr="00274DCF">
        <w:rPr>
          <w:rFonts w:asciiTheme="majorHAnsi" w:eastAsiaTheme="minorHAnsi" w:hAnsiTheme="majorHAnsi" w:cs="ArialMT"/>
          <w:color w:val="0070C1"/>
          <w:sz w:val="22"/>
          <w:szCs w:val="22"/>
          <w:lang w:eastAsia="en-US"/>
        </w:rPr>
        <w:t>Fig 5</w:t>
      </w:r>
      <w:r w:rsidRPr="00274DCF">
        <w:rPr>
          <w:rFonts w:asciiTheme="majorHAnsi" w:eastAsiaTheme="minorHAnsi" w:hAnsiTheme="majorHAnsi" w:cs="ArialMT"/>
          <w:color w:val="000000"/>
          <w:sz w:val="22"/>
          <w:szCs w:val="22"/>
          <w:lang w:eastAsia="en-US"/>
        </w:rPr>
        <w:t>. The intermittent PTH injections for 4-weeks result in increases in bone volumes originated from the endosteum in</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 xml:space="preserve">both mice and dogs. </w:t>
      </w:r>
      <w:r w:rsidRPr="00274DCF">
        <w:rPr>
          <w:rFonts w:asciiTheme="majorHAnsi" w:eastAsiaTheme="minorHAnsi" w:hAnsiTheme="majorHAnsi" w:cs="Arial-BoldMT"/>
          <w:b/>
          <w:bCs/>
          <w:color w:val="000000"/>
          <w:sz w:val="22"/>
          <w:szCs w:val="22"/>
          <w:lang w:eastAsia="en-US"/>
        </w:rPr>
        <w:t>a</w:t>
      </w:r>
      <w:r w:rsidRPr="00274DCF">
        <w:rPr>
          <w:rFonts w:asciiTheme="majorHAnsi" w:eastAsiaTheme="minorHAnsi" w:hAnsiTheme="majorHAnsi" w:cs="ArialMT"/>
          <w:color w:val="000000"/>
          <w:sz w:val="22"/>
          <w:szCs w:val="22"/>
          <w:lang w:eastAsia="en-US"/>
        </w:rPr>
        <w:t>. Injections of PTH in mice lead to increases in the endosteum layer and cortical bone (left panel);</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 xml:space="preserve">and </w:t>
      </w:r>
      <w:r w:rsidRPr="00274DCF">
        <w:rPr>
          <w:rFonts w:asciiTheme="majorHAnsi" w:eastAsiaTheme="minorHAnsi" w:hAnsiTheme="majorHAnsi" w:cs="Arial-BoldMT"/>
          <w:b/>
          <w:bCs/>
          <w:color w:val="000000"/>
          <w:sz w:val="22"/>
          <w:szCs w:val="22"/>
          <w:lang w:eastAsia="en-US"/>
        </w:rPr>
        <w:t>b</w:t>
      </w:r>
      <w:r w:rsidRPr="00274DCF">
        <w:rPr>
          <w:rFonts w:asciiTheme="majorHAnsi" w:eastAsiaTheme="minorHAnsi" w:hAnsiTheme="majorHAnsi" w:cs="ArialMT"/>
          <w:color w:val="000000"/>
          <w:sz w:val="22"/>
          <w:szCs w:val="22"/>
          <w:lang w:eastAsia="en-US"/>
        </w:rPr>
        <w:t>. Injections of PTH in dogs lead to increases in osteon formation, which is derived from the endosteum (right panel).</w:t>
      </w:r>
    </w:p>
    <w:p w:rsidR="00593C3E" w:rsidRDefault="00593C3E" w:rsidP="00274DCF">
      <w:pPr>
        <w:autoSpaceDE w:val="0"/>
        <w:autoSpaceDN w:val="0"/>
        <w:adjustRightInd w:val="0"/>
        <w:rPr>
          <w:rFonts w:asciiTheme="majorHAnsi" w:eastAsiaTheme="minorHAnsi" w:hAnsiTheme="majorHAnsi" w:cs="ArialMT"/>
          <w:color w:val="000000"/>
          <w:sz w:val="22"/>
          <w:szCs w:val="22"/>
          <w:lang w:eastAsia="en-US"/>
        </w:rPr>
      </w:pPr>
    </w:p>
    <w:p w:rsidR="00593C3E" w:rsidRDefault="00593C3E" w:rsidP="00274DCF">
      <w:pPr>
        <w:autoSpaceDE w:val="0"/>
        <w:autoSpaceDN w:val="0"/>
        <w:adjustRightInd w:val="0"/>
        <w:rPr>
          <w:rFonts w:asciiTheme="majorHAnsi" w:eastAsiaTheme="minorHAnsi" w:hAnsiTheme="majorHAnsi" w:cs="ArialMT"/>
          <w:color w:val="000000"/>
          <w:sz w:val="22"/>
          <w:szCs w:val="22"/>
          <w:lang w:eastAsia="en-US"/>
        </w:rPr>
      </w:pPr>
      <w:r w:rsidRPr="00593C3E">
        <w:rPr>
          <w:rFonts w:asciiTheme="majorHAnsi" w:eastAsiaTheme="minorHAnsi" w:hAnsiTheme="majorHAnsi" w:cs="ArialMT"/>
          <w:noProof/>
          <w:color w:val="000000"/>
          <w:sz w:val="22"/>
          <w:szCs w:val="22"/>
          <w:lang w:eastAsia="en-US"/>
        </w:rPr>
        <w:drawing>
          <wp:inline distT="0" distB="0" distL="0" distR="0">
            <wp:extent cx="5486400" cy="465826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658264"/>
                    </a:xfrm>
                    <a:prstGeom prst="rect">
                      <a:avLst/>
                    </a:prstGeom>
                    <a:noFill/>
                    <a:ln>
                      <a:noFill/>
                    </a:ln>
                  </pic:spPr>
                </pic:pic>
              </a:graphicData>
            </a:graphic>
          </wp:inline>
        </w:drawing>
      </w:r>
    </w:p>
    <w:p w:rsidR="00593C3E" w:rsidRPr="00274DCF" w:rsidRDefault="00593C3E" w:rsidP="00274DCF">
      <w:pPr>
        <w:autoSpaceDE w:val="0"/>
        <w:autoSpaceDN w:val="0"/>
        <w:adjustRightInd w:val="0"/>
        <w:rPr>
          <w:rFonts w:asciiTheme="majorHAnsi" w:eastAsiaTheme="minorHAnsi" w:hAnsiTheme="majorHAnsi" w:cs="ArialMT"/>
          <w:color w:val="000000"/>
          <w:sz w:val="22"/>
          <w:szCs w:val="22"/>
          <w:lang w:eastAsia="en-US"/>
        </w:rPr>
      </w:pPr>
    </w:p>
    <w:p w:rsidR="00274DCF" w:rsidRDefault="00274DCF" w:rsidP="00274DCF">
      <w:pPr>
        <w:autoSpaceDE w:val="0"/>
        <w:autoSpaceDN w:val="0"/>
        <w:adjustRightInd w:val="0"/>
        <w:rPr>
          <w:rFonts w:asciiTheme="majorHAnsi" w:eastAsiaTheme="minorHAnsi" w:hAnsiTheme="majorHAnsi" w:cs="ArialMT"/>
          <w:color w:val="000000"/>
          <w:sz w:val="22"/>
          <w:szCs w:val="22"/>
          <w:lang w:eastAsia="en-US"/>
        </w:rPr>
      </w:pPr>
      <w:r w:rsidRPr="00274DCF">
        <w:rPr>
          <w:rFonts w:asciiTheme="majorHAnsi" w:eastAsiaTheme="minorHAnsi" w:hAnsiTheme="majorHAnsi" w:cs="ArialMT"/>
          <w:color w:val="0070C1"/>
          <w:sz w:val="22"/>
          <w:szCs w:val="22"/>
          <w:lang w:eastAsia="en-US"/>
        </w:rPr>
        <w:t>Fig 6</w:t>
      </w:r>
      <w:r w:rsidRPr="00274DCF">
        <w:rPr>
          <w:rFonts w:asciiTheme="majorHAnsi" w:eastAsiaTheme="minorHAnsi" w:hAnsiTheme="majorHAnsi" w:cs="ArialMT"/>
          <w:color w:val="000000"/>
          <w:sz w:val="22"/>
          <w:szCs w:val="22"/>
          <w:lang w:eastAsia="en-US"/>
        </w:rPr>
        <w:t>. The tooth movement for 5-weeks results in increases in alveolar bone formation in dogs (right) as documented by</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the backscattered SEM techniques and the double labelling. The increased bone was originated from the periodontal</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ligament (PDL) layer in the movement group (right), in which there are numerous newly formed osteons in response to</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tooth movement.</w:t>
      </w:r>
    </w:p>
    <w:p w:rsidR="00593C3E" w:rsidRDefault="00593C3E" w:rsidP="00274DCF">
      <w:pPr>
        <w:autoSpaceDE w:val="0"/>
        <w:autoSpaceDN w:val="0"/>
        <w:adjustRightInd w:val="0"/>
        <w:rPr>
          <w:rFonts w:asciiTheme="majorHAnsi" w:eastAsiaTheme="minorHAnsi" w:hAnsiTheme="majorHAnsi" w:cs="ArialMT"/>
          <w:color w:val="000000"/>
          <w:sz w:val="22"/>
          <w:szCs w:val="22"/>
          <w:lang w:eastAsia="en-US"/>
        </w:rPr>
      </w:pPr>
      <w:r w:rsidRPr="00593C3E">
        <w:rPr>
          <w:rFonts w:asciiTheme="majorHAnsi" w:eastAsiaTheme="minorHAnsi" w:hAnsiTheme="majorHAnsi" w:cs="ArialMT"/>
          <w:noProof/>
          <w:color w:val="000000"/>
          <w:sz w:val="22"/>
          <w:szCs w:val="22"/>
          <w:lang w:eastAsia="en-US"/>
        </w:rPr>
        <w:drawing>
          <wp:inline distT="0" distB="0" distL="0" distR="0">
            <wp:extent cx="5798081" cy="15125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0899" cy="1518494"/>
                    </a:xfrm>
                    <a:prstGeom prst="rect">
                      <a:avLst/>
                    </a:prstGeom>
                    <a:noFill/>
                    <a:ln>
                      <a:noFill/>
                    </a:ln>
                  </pic:spPr>
                </pic:pic>
              </a:graphicData>
            </a:graphic>
          </wp:inline>
        </w:drawing>
      </w:r>
    </w:p>
    <w:p w:rsidR="00593C3E" w:rsidRPr="00274DCF" w:rsidRDefault="00593C3E" w:rsidP="00274DCF">
      <w:pPr>
        <w:autoSpaceDE w:val="0"/>
        <w:autoSpaceDN w:val="0"/>
        <w:adjustRightInd w:val="0"/>
        <w:rPr>
          <w:rFonts w:asciiTheme="majorHAnsi" w:eastAsiaTheme="minorHAnsi" w:hAnsiTheme="majorHAnsi" w:cs="ArialMT"/>
          <w:color w:val="000000"/>
          <w:sz w:val="22"/>
          <w:szCs w:val="22"/>
          <w:lang w:eastAsia="en-US"/>
        </w:rPr>
      </w:pPr>
    </w:p>
    <w:p w:rsidR="00274DCF" w:rsidRDefault="00274DCF" w:rsidP="00274DCF">
      <w:pPr>
        <w:autoSpaceDE w:val="0"/>
        <w:autoSpaceDN w:val="0"/>
        <w:adjustRightInd w:val="0"/>
        <w:rPr>
          <w:rFonts w:asciiTheme="majorHAnsi" w:eastAsiaTheme="minorHAnsi" w:hAnsiTheme="majorHAnsi" w:cs="ArialMT"/>
          <w:color w:val="000000"/>
          <w:sz w:val="22"/>
          <w:szCs w:val="22"/>
          <w:lang w:eastAsia="en-US"/>
        </w:rPr>
      </w:pPr>
      <w:r w:rsidRPr="00274DCF">
        <w:rPr>
          <w:rFonts w:asciiTheme="majorHAnsi" w:eastAsiaTheme="minorHAnsi" w:hAnsiTheme="majorHAnsi" w:cs="ArialMT"/>
          <w:color w:val="0070C1"/>
          <w:sz w:val="22"/>
          <w:szCs w:val="22"/>
          <w:lang w:eastAsia="en-US"/>
        </w:rPr>
        <w:t>Fig 7</w:t>
      </w:r>
      <w:r w:rsidRPr="00274DCF">
        <w:rPr>
          <w:rFonts w:asciiTheme="majorHAnsi" w:eastAsiaTheme="minorHAnsi" w:hAnsiTheme="majorHAnsi" w:cs="ArialMT"/>
          <w:color w:val="000000"/>
          <w:sz w:val="22"/>
          <w:szCs w:val="22"/>
          <w:lang w:eastAsia="en-US"/>
        </w:rPr>
        <w:t>. The three different models to show the variations in osteon formation: 1) the periosteum is responsible for osteon</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formation in loading (left); 2) The endosteum progenitor cells are critical for osteon formation in PTH response (middle);</w:t>
      </w:r>
      <w:r w:rsidR="00593C3E">
        <w:rPr>
          <w:rFonts w:asciiTheme="majorHAnsi" w:eastAsiaTheme="minorHAnsi" w:hAnsiTheme="majorHAnsi" w:cs="ArialMT"/>
          <w:color w:val="000000"/>
          <w:sz w:val="22"/>
          <w:szCs w:val="22"/>
          <w:lang w:eastAsia="en-US"/>
        </w:rPr>
        <w:t xml:space="preserve"> </w:t>
      </w:r>
      <w:r w:rsidRPr="00274DCF">
        <w:rPr>
          <w:rFonts w:asciiTheme="majorHAnsi" w:eastAsiaTheme="minorHAnsi" w:hAnsiTheme="majorHAnsi" w:cs="ArialMT"/>
          <w:color w:val="000000"/>
          <w:sz w:val="22"/>
          <w:szCs w:val="22"/>
          <w:lang w:eastAsia="en-US"/>
        </w:rPr>
        <w:t>and 3) The PDL is responsible for osteon formation in tooth movement (right).</w:t>
      </w:r>
    </w:p>
    <w:p w:rsidR="005F6E1E" w:rsidRDefault="005F6E1E" w:rsidP="00274DCF">
      <w:pPr>
        <w:autoSpaceDE w:val="0"/>
        <w:autoSpaceDN w:val="0"/>
        <w:adjustRightInd w:val="0"/>
        <w:rPr>
          <w:rFonts w:asciiTheme="majorHAnsi" w:eastAsiaTheme="minorHAnsi" w:hAnsiTheme="majorHAnsi" w:cs="ArialMT"/>
          <w:color w:val="000000"/>
          <w:sz w:val="22"/>
          <w:szCs w:val="22"/>
          <w:lang w:eastAsia="en-US"/>
        </w:rPr>
      </w:pPr>
    </w:p>
    <w:p w:rsidR="005F6E1E" w:rsidRDefault="005F6E1E" w:rsidP="00274DCF">
      <w:pPr>
        <w:autoSpaceDE w:val="0"/>
        <w:autoSpaceDN w:val="0"/>
        <w:adjustRightInd w:val="0"/>
        <w:rPr>
          <w:rFonts w:asciiTheme="majorHAnsi" w:eastAsiaTheme="minorHAnsi" w:hAnsiTheme="majorHAnsi" w:cs="ArialMT"/>
          <w:color w:val="000000"/>
          <w:sz w:val="22"/>
          <w:szCs w:val="22"/>
          <w:lang w:eastAsia="en-US"/>
        </w:rPr>
      </w:pPr>
    </w:p>
    <w:p w:rsidR="00CB5EE2" w:rsidRDefault="00CB5EE2">
      <w:pPr>
        <w:spacing w:after="160" w:line="259" w:lineRule="auto"/>
        <w:rPr>
          <w:rFonts w:asciiTheme="majorHAnsi" w:hAnsiTheme="majorHAnsi"/>
          <w:b/>
          <w:sz w:val="22"/>
          <w:szCs w:val="22"/>
        </w:rPr>
      </w:pPr>
      <w:r>
        <w:rPr>
          <w:rFonts w:asciiTheme="majorHAnsi" w:hAnsiTheme="majorHAnsi"/>
          <w:b/>
          <w:sz w:val="22"/>
          <w:szCs w:val="22"/>
        </w:rPr>
        <w:br w:type="page"/>
      </w:r>
    </w:p>
    <w:p w:rsidR="005F6E1E" w:rsidRPr="005F6E1E" w:rsidRDefault="002B2CEF" w:rsidP="005F6E1E">
      <w:pPr>
        <w:autoSpaceDE w:val="0"/>
        <w:autoSpaceDN w:val="0"/>
        <w:adjustRightInd w:val="0"/>
        <w:rPr>
          <w:rFonts w:asciiTheme="majorHAnsi" w:hAnsiTheme="majorHAnsi"/>
          <w:sz w:val="22"/>
          <w:szCs w:val="22"/>
        </w:rPr>
      </w:pPr>
      <w:r>
        <w:rPr>
          <w:rFonts w:asciiTheme="majorHAnsi" w:hAnsiTheme="majorHAnsi"/>
          <w:b/>
          <w:sz w:val="22"/>
          <w:szCs w:val="22"/>
        </w:rPr>
        <w:t>Underdevelopment of T</w:t>
      </w:r>
      <w:r w:rsidR="005F6E1E" w:rsidRPr="005F6E1E">
        <w:rPr>
          <w:rFonts w:asciiTheme="majorHAnsi" w:hAnsiTheme="majorHAnsi"/>
          <w:b/>
          <w:sz w:val="22"/>
          <w:szCs w:val="22"/>
        </w:rPr>
        <w:t xml:space="preserve">rabecular </w:t>
      </w:r>
      <w:r>
        <w:rPr>
          <w:rFonts w:asciiTheme="majorHAnsi" w:hAnsiTheme="majorHAnsi"/>
          <w:b/>
          <w:sz w:val="22"/>
          <w:szCs w:val="22"/>
        </w:rPr>
        <w:t>Bone M</w:t>
      </w:r>
      <w:r w:rsidR="005F6E1E" w:rsidRPr="005F6E1E">
        <w:rPr>
          <w:rFonts w:asciiTheme="majorHAnsi" w:hAnsiTheme="majorHAnsi"/>
          <w:b/>
          <w:sz w:val="22"/>
          <w:szCs w:val="22"/>
        </w:rPr>
        <w:t xml:space="preserve">icroarchitecture in the </w:t>
      </w:r>
      <w:r>
        <w:rPr>
          <w:rFonts w:asciiTheme="majorHAnsi" w:hAnsiTheme="majorHAnsi"/>
          <w:b/>
          <w:sz w:val="22"/>
          <w:szCs w:val="22"/>
        </w:rPr>
        <w:t>Distal T</w:t>
      </w:r>
      <w:r w:rsidR="005F6E1E" w:rsidRPr="005F6E1E">
        <w:rPr>
          <w:rFonts w:asciiTheme="majorHAnsi" w:hAnsiTheme="majorHAnsi"/>
          <w:b/>
          <w:sz w:val="22"/>
          <w:szCs w:val="22"/>
        </w:rPr>
        <w:t xml:space="preserve">ibia and </w:t>
      </w:r>
      <w:r>
        <w:rPr>
          <w:rFonts w:asciiTheme="majorHAnsi" w:hAnsiTheme="majorHAnsi"/>
          <w:b/>
          <w:sz w:val="22"/>
          <w:szCs w:val="22"/>
        </w:rPr>
        <w:t>Distal F</w:t>
      </w:r>
      <w:r w:rsidR="005F6E1E" w:rsidRPr="005F6E1E">
        <w:rPr>
          <w:rFonts w:asciiTheme="majorHAnsi" w:hAnsiTheme="majorHAnsi"/>
          <w:b/>
          <w:sz w:val="22"/>
          <w:szCs w:val="22"/>
        </w:rPr>
        <w:t xml:space="preserve">emur of </w:t>
      </w:r>
      <w:r>
        <w:rPr>
          <w:rFonts w:asciiTheme="majorHAnsi" w:hAnsiTheme="majorHAnsi"/>
          <w:b/>
          <w:sz w:val="22"/>
          <w:szCs w:val="22"/>
        </w:rPr>
        <w:t>A</w:t>
      </w:r>
      <w:r w:rsidR="005F6E1E" w:rsidRPr="005F6E1E">
        <w:rPr>
          <w:rFonts w:asciiTheme="majorHAnsi" w:hAnsiTheme="majorHAnsi"/>
          <w:b/>
          <w:sz w:val="22"/>
          <w:szCs w:val="22"/>
        </w:rPr>
        <w:t>mbulatory</w:t>
      </w:r>
      <w:r w:rsidR="005F6E1E">
        <w:rPr>
          <w:rFonts w:asciiTheme="majorHAnsi" w:hAnsiTheme="majorHAnsi"/>
          <w:b/>
          <w:sz w:val="22"/>
          <w:szCs w:val="22"/>
        </w:rPr>
        <w:t xml:space="preserve"> </w:t>
      </w:r>
      <w:r>
        <w:rPr>
          <w:rFonts w:asciiTheme="majorHAnsi" w:hAnsiTheme="majorHAnsi"/>
          <w:b/>
          <w:sz w:val="22"/>
          <w:szCs w:val="22"/>
        </w:rPr>
        <w:t>C</w:t>
      </w:r>
      <w:r w:rsidR="005F6E1E" w:rsidRPr="005F6E1E">
        <w:rPr>
          <w:rFonts w:asciiTheme="majorHAnsi" w:hAnsiTheme="majorHAnsi"/>
          <w:b/>
          <w:sz w:val="22"/>
          <w:szCs w:val="22"/>
        </w:rPr>
        <w:t xml:space="preserve">hildren with </w:t>
      </w:r>
      <w:r>
        <w:rPr>
          <w:rFonts w:asciiTheme="majorHAnsi" w:hAnsiTheme="majorHAnsi"/>
          <w:b/>
          <w:sz w:val="22"/>
          <w:szCs w:val="22"/>
        </w:rPr>
        <w:t>Cerebral P</w:t>
      </w:r>
      <w:r w:rsidR="005F6E1E" w:rsidRPr="005F6E1E">
        <w:rPr>
          <w:rFonts w:asciiTheme="majorHAnsi" w:hAnsiTheme="majorHAnsi"/>
          <w:b/>
          <w:sz w:val="22"/>
          <w:szCs w:val="22"/>
        </w:rPr>
        <w:t xml:space="preserve">alsy </w:t>
      </w:r>
      <w:r>
        <w:rPr>
          <w:rFonts w:asciiTheme="majorHAnsi" w:hAnsiTheme="majorHAnsi"/>
          <w:b/>
          <w:sz w:val="22"/>
          <w:szCs w:val="22"/>
        </w:rPr>
        <w:t>Becomes M</w:t>
      </w:r>
      <w:r w:rsidR="005F6E1E" w:rsidRPr="005F6E1E">
        <w:rPr>
          <w:rFonts w:asciiTheme="majorHAnsi" w:hAnsiTheme="majorHAnsi"/>
          <w:b/>
          <w:sz w:val="22"/>
          <w:szCs w:val="22"/>
        </w:rPr>
        <w:t xml:space="preserve">ore </w:t>
      </w:r>
      <w:r>
        <w:rPr>
          <w:rFonts w:asciiTheme="majorHAnsi" w:hAnsiTheme="majorHAnsi"/>
          <w:b/>
          <w:sz w:val="22"/>
          <w:szCs w:val="22"/>
        </w:rPr>
        <w:t>P</w:t>
      </w:r>
      <w:r w:rsidR="005F6E1E" w:rsidRPr="005F6E1E">
        <w:rPr>
          <w:rFonts w:asciiTheme="majorHAnsi" w:hAnsiTheme="majorHAnsi"/>
          <w:b/>
          <w:sz w:val="22"/>
          <w:szCs w:val="22"/>
        </w:rPr>
        <w:t>ronounce</w:t>
      </w:r>
      <w:r>
        <w:rPr>
          <w:rFonts w:asciiTheme="majorHAnsi" w:hAnsiTheme="majorHAnsi"/>
          <w:b/>
          <w:sz w:val="22"/>
          <w:szCs w:val="22"/>
        </w:rPr>
        <w:t>d with Distance from the G</w:t>
      </w:r>
      <w:r w:rsidR="005F6E1E" w:rsidRPr="005F6E1E">
        <w:rPr>
          <w:rFonts w:asciiTheme="majorHAnsi" w:hAnsiTheme="majorHAnsi"/>
          <w:b/>
          <w:sz w:val="22"/>
          <w:szCs w:val="22"/>
        </w:rPr>
        <w:t xml:space="preserve">rowth </w:t>
      </w:r>
      <w:r>
        <w:rPr>
          <w:rFonts w:asciiTheme="majorHAnsi" w:hAnsiTheme="majorHAnsi"/>
          <w:b/>
          <w:sz w:val="22"/>
          <w:szCs w:val="22"/>
        </w:rPr>
        <w:t>P</w:t>
      </w:r>
      <w:r w:rsidR="005F6E1E" w:rsidRPr="005F6E1E">
        <w:rPr>
          <w:rFonts w:asciiTheme="majorHAnsi" w:hAnsiTheme="majorHAnsi"/>
          <w:b/>
          <w:sz w:val="22"/>
          <w:szCs w:val="22"/>
        </w:rPr>
        <w:t>late</w:t>
      </w:r>
    </w:p>
    <w:p w:rsidR="005F6E1E" w:rsidRPr="00370846" w:rsidRDefault="005F6E1E" w:rsidP="005F6E1E">
      <w:pPr>
        <w:autoSpaceDE w:val="0"/>
        <w:autoSpaceDN w:val="0"/>
        <w:adjustRightInd w:val="0"/>
        <w:rPr>
          <w:rFonts w:asciiTheme="majorHAnsi" w:hAnsiTheme="majorHAnsi"/>
          <w:i/>
          <w:sz w:val="22"/>
          <w:szCs w:val="22"/>
        </w:rPr>
      </w:pPr>
      <w:r w:rsidRPr="00370846">
        <w:rPr>
          <w:rFonts w:asciiTheme="majorHAnsi" w:hAnsiTheme="majorHAnsi"/>
          <w:i/>
          <w:sz w:val="22"/>
          <w:szCs w:val="22"/>
        </w:rPr>
        <w:t>Daniel G. Whitney</w:t>
      </w:r>
      <w:r w:rsidR="00550460">
        <w:rPr>
          <w:rFonts w:asciiTheme="majorHAnsi" w:hAnsiTheme="majorHAnsi"/>
          <w:i/>
          <w:sz w:val="22"/>
          <w:szCs w:val="22"/>
        </w:rPr>
        <w:t>, MS</w:t>
      </w:r>
      <w:r w:rsidRPr="00370846">
        <w:rPr>
          <w:rFonts w:asciiTheme="majorHAnsi" w:hAnsiTheme="majorHAnsi"/>
          <w:i/>
          <w:sz w:val="22"/>
          <w:szCs w:val="22"/>
          <w:vertAlign w:val="superscript"/>
        </w:rPr>
        <w:t>a</w:t>
      </w:r>
      <w:r w:rsidRPr="00370846">
        <w:rPr>
          <w:rFonts w:asciiTheme="majorHAnsi" w:hAnsiTheme="majorHAnsi"/>
          <w:i/>
          <w:sz w:val="22"/>
          <w:szCs w:val="22"/>
        </w:rPr>
        <w:t>, Harshvardhan Singh</w:t>
      </w:r>
      <w:r w:rsidR="00550460">
        <w:rPr>
          <w:rFonts w:asciiTheme="majorHAnsi" w:hAnsiTheme="majorHAnsi"/>
          <w:i/>
          <w:sz w:val="22"/>
          <w:szCs w:val="22"/>
        </w:rPr>
        <w:t>, PhD</w:t>
      </w:r>
      <w:r w:rsidRPr="00370846">
        <w:rPr>
          <w:rFonts w:asciiTheme="majorHAnsi" w:hAnsiTheme="majorHAnsi"/>
          <w:i/>
          <w:sz w:val="22"/>
          <w:szCs w:val="22"/>
          <w:vertAlign w:val="superscript"/>
        </w:rPr>
        <w:t>a</w:t>
      </w:r>
      <w:r w:rsidRPr="00370846">
        <w:rPr>
          <w:rFonts w:asciiTheme="majorHAnsi" w:hAnsiTheme="majorHAnsi"/>
          <w:i/>
          <w:sz w:val="22"/>
          <w:szCs w:val="22"/>
        </w:rPr>
        <w:t>, Freeman Miller</w:t>
      </w:r>
      <w:r w:rsidR="00550460">
        <w:rPr>
          <w:rFonts w:asciiTheme="majorHAnsi" w:hAnsiTheme="majorHAnsi"/>
          <w:i/>
          <w:sz w:val="22"/>
          <w:szCs w:val="22"/>
        </w:rPr>
        <w:t>, MD</w:t>
      </w:r>
      <w:r w:rsidRPr="00370846">
        <w:rPr>
          <w:rFonts w:asciiTheme="majorHAnsi" w:hAnsiTheme="majorHAnsi"/>
          <w:i/>
          <w:sz w:val="22"/>
          <w:szCs w:val="22"/>
          <w:vertAlign w:val="superscript"/>
        </w:rPr>
        <w:t>b</w:t>
      </w:r>
      <w:r w:rsidRPr="00370846">
        <w:rPr>
          <w:rFonts w:asciiTheme="majorHAnsi" w:hAnsiTheme="majorHAnsi"/>
          <w:i/>
          <w:sz w:val="22"/>
          <w:szCs w:val="22"/>
        </w:rPr>
        <w:t>, Christopher M. Modlesky</w:t>
      </w:r>
      <w:r w:rsidR="00550460">
        <w:rPr>
          <w:rFonts w:asciiTheme="majorHAnsi" w:hAnsiTheme="majorHAnsi"/>
          <w:i/>
          <w:sz w:val="22"/>
          <w:szCs w:val="22"/>
        </w:rPr>
        <w:t>, PhD</w:t>
      </w:r>
      <w:r w:rsidRPr="00370846">
        <w:rPr>
          <w:rFonts w:asciiTheme="majorHAnsi" w:hAnsiTheme="majorHAnsi"/>
          <w:i/>
          <w:sz w:val="22"/>
          <w:szCs w:val="22"/>
          <w:vertAlign w:val="superscript"/>
        </w:rPr>
        <w:t>a</w:t>
      </w:r>
    </w:p>
    <w:p w:rsidR="005F6E1E" w:rsidRPr="00370846" w:rsidRDefault="005F6E1E" w:rsidP="005F6E1E">
      <w:pPr>
        <w:autoSpaceDE w:val="0"/>
        <w:autoSpaceDN w:val="0"/>
        <w:adjustRightInd w:val="0"/>
        <w:rPr>
          <w:rFonts w:asciiTheme="majorHAnsi" w:hAnsiTheme="majorHAnsi"/>
          <w:i/>
          <w:sz w:val="22"/>
          <w:szCs w:val="22"/>
        </w:rPr>
      </w:pPr>
      <w:r w:rsidRPr="00370846">
        <w:rPr>
          <w:rFonts w:asciiTheme="majorHAnsi" w:hAnsiTheme="majorHAnsi"/>
          <w:i/>
          <w:sz w:val="22"/>
          <w:szCs w:val="22"/>
          <w:vertAlign w:val="superscript"/>
        </w:rPr>
        <w:t>a</w:t>
      </w:r>
      <w:r w:rsidRPr="00370846">
        <w:rPr>
          <w:rFonts w:asciiTheme="majorHAnsi" w:hAnsiTheme="majorHAnsi"/>
          <w:i/>
          <w:sz w:val="22"/>
          <w:szCs w:val="22"/>
        </w:rPr>
        <w:t xml:space="preserve">Department of Kinesiology and Applied Physiology, University of Delaware, Newark, DE, USA, </w:t>
      </w:r>
      <w:r w:rsidRPr="00370846">
        <w:rPr>
          <w:rFonts w:asciiTheme="majorHAnsi" w:hAnsiTheme="majorHAnsi"/>
          <w:i/>
          <w:sz w:val="22"/>
          <w:szCs w:val="22"/>
          <w:vertAlign w:val="superscript"/>
        </w:rPr>
        <w:t>b</w:t>
      </w:r>
      <w:r w:rsidRPr="00370846">
        <w:rPr>
          <w:rFonts w:asciiTheme="majorHAnsi" w:hAnsiTheme="majorHAnsi"/>
          <w:i/>
          <w:sz w:val="22"/>
          <w:szCs w:val="22"/>
        </w:rPr>
        <w:t>Department of Orthopedics, AI duPont Hospital for Children, Wilmington, DE, USA.</w:t>
      </w:r>
    </w:p>
    <w:p w:rsidR="005F6E1E" w:rsidRDefault="005F6E1E" w:rsidP="005F6E1E">
      <w:pPr>
        <w:autoSpaceDE w:val="0"/>
        <w:autoSpaceDN w:val="0"/>
        <w:adjustRightInd w:val="0"/>
        <w:rPr>
          <w:rFonts w:asciiTheme="majorHAnsi" w:hAnsiTheme="majorHAnsi"/>
          <w:sz w:val="22"/>
          <w:szCs w:val="22"/>
        </w:rPr>
      </w:pPr>
    </w:p>
    <w:p w:rsidR="005F6E1E" w:rsidRDefault="005F6E1E" w:rsidP="005F6E1E">
      <w:pPr>
        <w:autoSpaceDE w:val="0"/>
        <w:autoSpaceDN w:val="0"/>
        <w:adjustRightInd w:val="0"/>
        <w:rPr>
          <w:rFonts w:asciiTheme="majorHAnsi" w:hAnsiTheme="majorHAnsi"/>
          <w:sz w:val="22"/>
          <w:szCs w:val="22"/>
        </w:rPr>
      </w:pPr>
      <w:r w:rsidRPr="005F6E1E">
        <w:rPr>
          <w:rFonts w:asciiTheme="majorHAnsi" w:hAnsiTheme="majorHAnsi"/>
          <w:b/>
          <w:sz w:val="22"/>
          <w:szCs w:val="22"/>
        </w:rPr>
        <w:t>Background</w:t>
      </w:r>
      <w:r w:rsidRPr="005F6E1E">
        <w:rPr>
          <w:rFonts w:asciiTheme="majorHAnsi" w:hAnsiTheme="majorHAnsi"/>
          <w:sz w:val="22"/>
          <w:szCs w:val="22"/>
        </w:rPr>
        <w:t>: Children with cerebral palsy (CP) have impaired motor function [1, 2], an underdeveloped musculoskeletal</w:t>
      </w:r>
      <w:r>
        <w:rPr>
          <w:rFonts w:asciiTheme="majorHAnsi" w:hAnsiTheme="majorHAnsi"/>
          <w:sz w:val="22"/>
          <w:szCs w:val="22"/>
        </w:rPr>
        <w:t xml:space="preserve"> </w:t>
      </w:r>
      <w:r w:rsidRPr="005F6E1E">
        <w:rPr>
          <w:rFonts w:asciiTheme="majorHAnsi" w:hAnsiTheme="majorHAnsi"/>
          <w:sz w:val="22"/>
          <w:szCs w:val="22"/>
        </w:rPr>
        <w:t>system [3, 4] and low levels of physical activity [5] which are associated with a high incidence of low-energy fractures</w:t>
      </w:r>
      <w:r>
        <w:rPr>
          <w:rFonts w:asciiTheme="majorHAnsi" w:hAnsiTheme="majorHAnsi"/>
          <w:sz w:val="22"/>
          <w:szCs w:val="22"/>
        </w:rPr>
        <w:t xml:space="preserve"> </w:t>
      </w:r>
      <w:r w:rsidRPr="005F6E1E">
        <w:rPr>
          <w:rFonts w:asciiTheme="majorHAnsi" w:hAnsiTheme="majorHAnsi"/>
          <w:sz w:val="22"/>
          <w:szCs w:val="22"/>
        </w:rPr>
        <w:t>occurring primarily at the femur and tibia in this pediatric population [6]. Nonambulatory children with more severe forms</w:t>
      </w:r>
      <w:r>
        <w:rPr>
          <w:rFonts w:asciiTheme="majorHAnsi" w:hAnsiTheme="majorHAnsi"/>
          <w:sz w:val="22"/>
          <w:szCs w:val="22"/>
        </w:rPr>
        <w:t xml:space="preserve"> </w:t>
      </w:r>
      <w:r w:rsidRPr="005F6E1E">
        <w:rPr>
          <w:rFonts w:asciiTheme="majorHAnsi" w:hAnsiTheme="majorHAnsi"/>
          <w:sz w:val="22"/>
          <w:szCs w:val="22"/>
        </w:rPr>
        <w:t>of CP have an underdeveloped trabecular bone microarchitecture (TBM) in the distal femur, their primary fracture site [6</w:t>
      </w:r>
      <w:r w:rsidR="00563E12" w:rsidRPr="005F6E1E">
        <w:rPr>
          <w:rFonts w:asciiTheme="majorHAnsi" w:hAnsiTheme="majorHAnsi"/>
          <w:sz w:val="22"/>
          <w:szCs w:val="22"/>
        </w:rPr>
        <w:t>] that</w:t>
      </w:r>
      <w:r w:rsidRPr="005F6E1E">
        <w:rPr>
          <w:rFonts w:asciiTheme="majorHAnsi" w:hAnsiTheme="majorHAnsi"/>
          <w:sz w:val="22"/>
          <w:szCs w:val="22"/>
        </w:rPr>
        <w:t xml:space="preserve"> becomes more pronounced with distance from the growth plate [7]. The purpose of this study was determine if</w:t>
      </w:r>
      <w:r>
        <w:rPr>
          <w:rFonts w:asciiTheme="majorHAnsi" w:hAnsiTheme="majorHAnsi"/>
          <w:sz w:val="22"/>
          <w:szCs w:val="22"/>
        </w:rPr>
        <w:t xml:space="preserve"> </w:t>
      </w:r>
      <w:r w:rsidRPr="005F6E1E">
        <w:rPr>
          <w:rFonts w:asciiTheme="majorHAnsi" w:hAnsiTheme="majorHAnsi"/>
          <w:sz w:val="22"/>
          <w:szCs w:val="22"/>
        </w:rPr>
        <w:t>ambulatory children with mild CP have an underdeveloped TBM in the distal tibia and distal femur and if the pattern of</w:t>
      </w:r>
      <w:r>
        <w:rPr>
          <w:rFonts w:asciiTheme="majorHAnsi" w:hAnsiTheme="majorHAnsi"/>
          <w:sz w:val="22"/>
          <w:szCs w:val="22"/>
        </w:rPr>
        <w:t xml:space="preserve"> </w:t>
      </w:r>
      <w:r w:rsidRPr="005F6E1E">
        <w:rPr>
          <w:rFonts w:asciiTheme="majorHAnsi" w:hAnsiTheme="majorHAnsi"/>
          <w:sz w:val="22"/>
          <w:szCs w:val="22"/>
        </w:rPr>
        <w:t>TBM becomes more pronounced with distance from the growth plate.</w:t>
      </w:r>
      <w:r>
        <w:rPr>
          <w:rFonts w:asciiTheme="majorHAnsi" w:hAnsiTheme="majorHAnsi"/>
          <w:sz w:val="22"/>
          <w:szCs w:val="22"/>
        </w:rPr>
        <w:t xml:space="preserve"> </w:t>
      </w:r>
    </w:p>
    <w:p w:rsidR="005F6E1E" w:rsidRPr="005F6E1E" w:rsidRDefault="005F6E1E" w:rsidP="005F6E1E">
      <w:pPr>
        <w:autoSpaceDE w:val="0"/>
        <w:autoSpaceDN w:val="0"/>
        <w:adjustRightInd w:val="0"/>
        <w:rPr>
          <w:rFonts w:asciiTheme="majorHAnsi" w:hAnsiTheme="majorHAnsi"/>
          <w:sz w:val="22"/>
          <w:szCs w:val="22"/>
        </w:rPr>
      </w:pPr>
    </w:p>
    <w:p w:rsidR="005F6E1E" w:rsidRDefault="005F6E1E" w:rsidP="005F6E1E">
      <w:pPr>
        <w:autoSpaceDE w:val="0"/>
        <w:autoSpaceDN w:val="0"/>
        <w:adjustRightInd w:val="0"/>
        <w:rPr>
          <w:rFonts w:asciiTheme="majorHAnsi" w:hAnsiTheme="majorHAnsi"/>
          <w:sz w:val="22"/>
          <w:szCs w:val="22"/>
        </w:rPr>
      </w:pPr>
      <w:r w:rsidRPr="005F6E1E">
        <w:rPr>
          <w:rFonts w:asciiTheme="majorHAnsi" w:hAnsiTheme="majorHAnsi"/>
          <w:b/>
          <w:sz w:val="22"/>
          <w:szCs w:val="22"/>
        </w:rPr>
        <w:t>Methods</w:t>
      </w:r>
      <w:r w:rsidRPr="005F6E1E">
        <w:rPr>
          <w:rFonts w:asciiTheme="majorHAnsi" w:hAnsiTheme="majorHAnsi"/>
          <w:sz w:val="22"/>
          <w:szCs w:val="22"/>
        </w:rPr>
        <w:t>: Twelve ambulatory children with mild CP and 12 sex-, age- and race-matched controls (5 to 12 years of age)</w:t>
      </w:r>
      <w:r>
        <w:rPr>
          <w:rFonts w:asciiTheme="majorHAnsi" w:hAnsiTheme="majorHAnsi"/>
          <w:sz w:val="22"/>
          <w:szCs w:val="22"/>
        </w:rPr>
        <w:t xml:space="preserve"> </w:t>
      </w:r>
      <w:r w:rsidRPr="005F6E1E">
        <w:rPr>
          <w:rFonts w:asciiTheme="majorHAnsi" w:hAnsiTheme="majorHAnsi"/>
          <w:sz w:val="22"/>
          <w:szCs w:val="22"/>
        </w:rPr>
        <w:t>participated in this study. Twenty-six axial magnetic resonance images (175 x 175 x 700 μm3) of the distal tibia and distal</w:t>
      </w:r>
      <w:r>
        <w:rPr>
          <w:rFonts w:asciiTheme="majorHAnsi" w:hAnsiTheme="majorHAnsi"/>
          <w:sz w:val="22"/>
          <w:szCs w:val="22"/>
        </w:rPr>
        <w:t xml:space="preserve"> </w:t>
      </w:r>
      <w:r w:rsidRPr="005F6E1E">
        <w:rPr>
          <w:rFonts w:asciiTheme="majorHAnsi" w:hAnsiTheme="majorHAnsi"/>
          <w:sz w:val="22"/>
          <w:szCs w:val="22"/>
        </w:rPr>
        <w:t>femur immediately above the growth plate were collected and measures of TBM</w:t>
      </w:r>
      <w:r>
        <w:rPr>
          <w:rFonts w:asciiTheme="majorHAnsi" w:hAnsiTheme="majorHAnsi"/>
          <w:sz w:val="22"/>
          <w:szCs w:val="22"/>
        </w:rPr>
        <w:t xml:space="preserve"> </w:t>
      </w:r>
      <w:r w:rsidRPr="005F6E1E">
        <w:rPr>
          <w:rFonts w:asciiTheme="majorHAnsi" w:hAnsiTheme="majorHAnsi"/>
          <w:sz w:val="22"/>
          <w:szCs w:val="22"/>
        </w:rPr>
        <w:t>[apparent trabecular bone volume to total volume (appBV/TV), trabecular number</w:t>
      </w:r>
      <w:r>
        <w:rPr>
          <w:rFonts w:asciiTheme="majorHAnsi" w:hAnsiTheme="majorHAnsi"/>
          <w:sz w:val="22"/>
          <w:szCs w:val="22"/>
        </w:rPr>
        <w:t xml:space="preserve"> </w:t>
      </w:r>
      <w:r w:rsidRPr="005F6E1E">
        <w:rPr>
          <w:rFonts w:asciiTheme="majorHAnsi" w:hAnsiTheme="majorHAnsi"/>
          <w:sz w:val="22"/>
          <w:szCs w:val="22"/>
        </w:rPr>
        <w:t>(appTb.N), trabecular thickness (appTb.Th) and trabecular separation (appTb.Sp)] of the</w:t>
      </w:r>
      <w:r>
        <w:rPr>
          <w:rFonts w:asciiTheme="majorHAnsi" w:hAnsiTheme="majorHAnsi"/>
          <w:sz w:val="22"/>
          <w:szCs w:val="22"/>
        </w:rPr>
        <w:t xml:space="preserve"> </w:t>
      </w:r>
      <w:r w:rsidRPr="005F6E1E">
        <w:rPr>
          <w:rFonts w:asciiTheme="majorHAnsi" w:hAnsiTheme="majorHAnsi"/>
          <w:sz w:val="22"/>
          <w:szCs w:val="22"/>
        </w:rPr>
        <w:t>medial and lateral half of the distal tibia and distal femur, respectively, were obtained</w:t>
      </w:r>
      <w:r>
        <w:rPr>
          <w:rFonts w:asciiTheme="majorHAnsi" w:hAnsiTheme="majorHAnsi"/>
          <w:sz w:val="22"/>
          <w:szCs w:val="22"/>
        </w:rPr>
        <w:t xml:space="preserve"> </w:t>
      </w:r>
      <w:r w:rsidRPr="00370846">
        <w:rPr>
          <w:rFonts w:asciiTheme="majorHAnsi" w:hAnsiTheme="majorHAnsi"/>
          <w:b/>
          <w:sz w:val="22"/>
          <w:szCs w:val="22"/>
        </w:rPr>
        <w:t>(Figure 1</w:t>
      </w:r>
      <w:r w:rsidRPr="005F6E1E">
        <w:rPr>
          <w:rFonts w:asciiTheme="majorHAnsi" w:hAnsiTheme="majorHAnsi"/>
          <w:sz w:val="22"/>
          <w:szCs w:val="22"/>
        </w:rPr>
        <w:t>). Using SPSS, regression analyses were performed for TBM and distance from</w:t>
      </w:r>
      <w:r w:rsidR="00563E12">
        <w:rPr>
          <w:rFonts w:asciiTheme="majorHAnsi" w:hAnsiTheme="majorHAnsi"/>
          <w:sz w:val="22"/>
          <w:szCs w:val="22"/>
        </w:rPr>
        <w:t xml:space="preserve"> </w:t>
      </w:r>
      <w:r w:rsidRPr="005F6E1E">
        <w:rPr>
          <w:rFonts w:asciiTheme="majorHAnsi" w:hAnsiTheme="majorHAnsi"/>
          <w:sz w:val="22"/>
          <w:szCs w:val="22"/>
        </w:rPr>
        <w:t>the growth plate. Independent t-tests were used to compare regions of TBM and the</w:t>
      </w:r>
      <w:r>
        <w:rPr>
          <w:rFonts w:asciiTheme="majorHAnsi" w:hAnsiTheme="majorHAnsi"/>
          <w:sz w:val="22"/>
          <w:szCs w:val="22"/>
        </w:rPr>
        <w:t xml:space="preserve"> </w:t>
      </w:r>
      <w:r w:rsidRPr="005F6E1E">
        <w:rPr>
          <w:rFonts w:asciiTheme="majorHAnsi" w:hAnsiTheme="majorHAnsi"/>
          <w:sz w:val="22"/>
          <w:szCs w:val="22"/>
        </w:rPr>
        <w:t>slopes of TBM with distance from the growth plate between groups.</w:t>
      </w:r>
    </w:p>
    <w:p w:rsidR="005F6E1E" w:rsidRPr="005F6E1E" w:rsidRDefault="005F6E1E" w:rsidP="005F6E1E">
      <w:pPr>
        <w:autoSpaceDE w:val="0"/>
        <w:autoSpaceDN w:val="0"/>
        <w:adjustRightInd w:val="0"/>
        <w:rPr>
          <w:rFonts w:asciiTheme="majorHAnsi" w:hAnsiTheme="majorHAnsi"/>
          <w:sz w:val="22"/>
          <w:szCs w:val="22"/>
        </w:rPr>
      </w:pPr>
    </w:p>
    <w:p w:rsidR="005F6E1E" w:rsidRPr="00370846" w:rsidRDefault="005F6E1E" w:rsidP="005F6E1E">
      <w:pPr>
        <w:autoSpaceDE w:val="0"/>
        <w:autoSpaceDN w:val="0"/>
        <w:adjustRightInd w:val="0"/>
        <w:rPr>
          <w:rFonts w:asciiTheme="majorHAnsi" w:hAnsiTheme="majorHAnsi"/>
          <w:b/>
          <w:sz w:val="22"/>
          <w:szCs w:val="22"/>
        </w:rPr>
      </w:pPr>
      <w:r w:rsidRPr="005F6E1E">
        <w:rPr>
          <w:rFonts w:asciiTheme="majorHAnsi" w:hAnsiTheme="majorHAnsi"/>
          <w:b/>
          <w:sz w:val="22"/>
          <w:szCs w:val="22"/>
        </w:rPr>
        <w:t>Results</w:t>
      </w:r>
      <w:r w:rsidRPr="005F6E1E">
        <w:rPr>
          <w:rFonts w:asciiTheme="majorHAnsi" w:hAnsiTheme="majorHAnsi"/>
          <w:sz w:val="22"/>
          <w:szCs w:val="22"/>
        </w:rPr>
        <w:t>: Compared to controls, the distal tibia and distal femur in children with CP had lower appBV/TV (20% and 12%),</w:t>
      </w:r>
      <w:r>
        <w:rPr>
          <w:rFonts w:asciiTheme="majorHAnsi" w:hAnsiTheme="majorHAnsi"/>
          <w:sz w:val="22"/>
          <w:szCs w:val="22"/>
        </w:rPr>
        <w:t xml:space="preserve"> </w:t>
      </w:r>
      <w:r w:rsidRPr="005F6E1E">
        <w:rPr>
          <w:rFonts w:asciiTheme="majorHAnsi" w:hAnsiTheme="majorHAnsi"/>
          <w:sz w:val="22"/>
          <w:szCs w:val="22"/>
        </w:rPr>
        <w:t>lower appTb.N (14% and 8%) and higher appTb.Sp (30% and 16%), respectively (all p &lt; 0.05), and lower appTb.Th in the</w:t>
      </w:r>
      <w:r>
        <w:rPr>
          <w:rFonts w:asciiTheme="majorHAnsi" w:hAnsiTheme="majorHAnsi"/>
          <w:sz w:val="22"/>
          <w:szCs w:val="22"/>
        </w:rPr>
        <w:t xml:space="preserve"> </w:t>
      </w:r>
      <w:r w:rsidRPr="005F6E1E">
        <w:rPr>
          <w:rFonts w:asciiTheme="majorHAnsi" w:hAnsiTheme="majorHAnsi"/>
          <w:sz w:val="22"/>
          <w:szCs w:val="22"/>
        </w:rPr>
        <w:t xml:space="preserve">distal tibia (8%, p = 0.016), but not in the distal femur (5%, p = 0.174) </w:t>
      </w:r>
      <w:r w:rsidRPr="00370846">
        <w:rPr>
          <w:rFonts w:asciiTheme="majorHAnsi" w:hAnsiTheme="majorHAnsi"/>
          <w:b/>
          <w:sz w:val="22"/>
          <w:szCs w:val="22"/>
        </w:rPr>
        <w:t>(Figure 2)</w:t>
      </w:r>
      <w:r w:rsidRPr="005F6E1E">
        <w:rPr>
          <w:rFonts w:asciiTheme="majorHAnsi" w:hAnsiTheme="majorHAnsi"/>
          <w:sz w:val="22"/>
          <w:szCs w:val="22"/>
        </w:rPr>
        <w:t>.</w:t>
      </w:r>
      <w:r>
        <w:rPr>
          <w:rFonts w:asciiTheme="majorHAnsi" w:hAnsiTheme="majorHAnsi"/>
          <w:sz w:val="22"/>
          <w:szCs w:val="22"/>
        </w:rPr>
        <w:t xml:space="preserve"> </w:t>
      </w:r>
      <w:r w:rsidRPr="005F6E1E">
        <w:rPr>
          <w:rFonts w:asciiTheme="majorHAnsi" w:hAnsiTheme="majorHAnsi"/>
          <w:sz w:val="22"/>
          <w:szCs w:val="22"/>
        </w:rPr>
        <w:t>When distance from the growth plate was</w:t>
      </w:r>
      <w:r>
        <w:rPr>
          <w:rFonts w:asciiTheme="majorHAnsi" w:hAnsiTheme="majorHAnsi"/>
          <w:sz w:val="22"/>
          <w:szCs w:val="22"/>
        </w:rPr>
        <w:t xml:space="preserve"> </w:t>
      </w:r>
      <w:r w:rsidRPr="005F6E1E">
        <w:rPr>
          <w:rFonts w:asciiTheme="majorHAnsi" w:hAnsiTheme="majorHAnsi"/>
          <w:sz w:val="22"/>
          <w:szCs w:val="22"/>
        </w:rPr>
        <w:t>regressed against measures of TBM,</w:t>
      </w:r>
      <w:r>
        <w:rPr>
          <w:rFonts w:asciiTheme="majorHAnsi" w:hAnsiTheme="majorHAnsi"/>
          <w:sz w:val="22"/>
          <w:szCs w:val="22"/>
        </w:rPr>
        <w:t xml:space="preserve"> </w:t>
      </w:r>
      <w:r w:rsidRPr="005F6E1E">
        <w:rPr>
          <w:rFonts w:asciiTheme="majorHAnsi" w:hAnsiTheme="majorHAnsi"/>
          <w:sz w:val="22"/>
          <w:szCs w:val="22"/>
        </w:rPr>
        <w:t>children with CP had steeper slopes in</w:t>
      </w:r>
      <w:r>
        <w:rPr>
          <w:rFonts w:asciiTheme="majorHAnsi" w:hAnsiTheme="majorHAnsi"/>
          <w:sz w:val="22"/>
          <w:szCs w:val="22"/>
        </w:rPr>
        <w:t xml:space="preserve"> </w:t>
      </w:r>
      <w:r w:rsidRPr="005F6E1E">
        <w:rPr>
          <w:rFonts w:asciiTheme="majorHAnsi" w:hAnsiTheme="majorHAnsi"/>
          <w:sz w:val="22"/>
          <w:szCs w:val="22"/>
        </w:rPr>
        <w:t>appBV/TV, appTb.N, appTb.Th and</w:t>
      </w:r>
      <w:r>
        <w:rPr>
          <w:rFonts w:asciiTheme="majorHAnsi" w:hAnsiTheme="majorHAnsi"/>
          <w:sz w:val="22"/>
          <w:szCs w:val="22"/>
        </w:rPr>
        <w:t xml:space="preserve"> </w:t>
      </w:r>
      <w:r w:rsidRPr="005F6E1E">
        <w:rPr>
          <w:rFonts w:asciiTheme="majorHAnsi" w:hAnsiTheme="majorHAnsi"/>
          <w:sz w:val="22"/>
          <w:szCs w:val="22"/>
        </w:rPr>
        <w:t>appTb.Sp in the distal tibia and appTb.N and appTb.Sp in the distal</w:t>
      </w:r>
      <w:r>
        <w:rPr>
          <w:rFonts w:asciiTheme="majorHAnsi" w:hAnsiTheme="majorHAnsi"/>
          <w:sz w:val="22"/>
          <w:szCs w:val="22"/>
        </w:rPr>
        <w:t xml:space="preserve"> </w:t>
      </w:r>
      <w:r w:rsidRPr="005F6E1E">
        <w:rPr>
          <w:rFonts w:asciiTheme="majorHAnsi" w:hAnsiTheme="majorHAnsi"/>
          <w:sz w:val="22"/>
          <w:szCs w:val="22"/>
        </w:rPr>
        <w:t xml:space="preserve">femur (all p &lt; 0.05) </w:t>
      </w:r>
      <w:r w:rsidRPr="00370846">
        <w:rPr>
          <w:rFonts w:asciiTheme="majorHAnsi" w:hAnsiTheme="majorHAnsi"/>
          <w:b/>
          <w:sz w:val="22"/>
          <w:szCs w:val="22"/>
        </w:rPr>
        <w:t xml:space="preserve">(Figure 3). </w:t>
      </w:r>
    </w:p>
    <w:p w:rsidR="005F6E1E" w:rsidRPr="005F6E1E" w:rsidRDefault="005F6E1E" w:rsidP="005F6E1E">
      <w:pPr>
        <w:autoSpaceDE w:val="0"/>
        <w:autoSpaceDN w:val="0"/>
        <w:adjustRightInd w:val="0"/>
        <w:rPr>
          <w:rFonts w:asciiTheme="majorHAnsi" w:hAnsiTheme="majorHAnsi"/>
          <w:sz w:val="22"/>
          <w:szCs w:val="22"/>
        </w:rPr>
      </w:pPr>
    </w:p>
    <w:p w:rsidR="005F6E1E" w:rsidRDefault="005F6E1E" w:rsidP="005F6E1E">
      <w:pPr>
        <w:autoSpaceDE w:val="0"/>
        <w:autoSpaceDN w:val="0"/>
        <w:adjustRightInd w:val="0"/>
        <w:rPr>
          <w:rFonts w:asciiTheme="majorHAnsi" w:hAnsiTheme="majorHAnsi"/>
          <w:sz w:val="22"/>
          <w:szCs w:val="22"/>
        </w:rPr>
      </w:pPr>
      <w:r w:rsidRPr="005F6E1E">
        <w:rPr>
          <w:rFonts w:asciiTheme="majorHAnsi" w:hAnsiTheme="majorHAnsi"/>
          <w:b/>
          <w:sz w:val="22"/>
          <w:szCs w:val="22"/>
        </w:rPr>
        <w:t>Discussion:</w:t>
      </w:r>
      <w:r w:rsidRPr="005F6E1E">
        <w:rPr>
          <w:rFonts w:asciiTheme="majorHAnsi" w:hAnsiTheme="majorHAnsi"/>
          <w:sz w:val="22"/>
          <w:szCs w:val="22"/>
        </w:rPr>
        <w:t xml:space="preserve"> Ambulatory children with mild CP present with an</w:t>
      </w:r>
      <w:r>
        <w:rPr>
          <w:rFonts w:asciiTheme="majorHAnsi" w:hAnsiTheme="majorHAnsi"/>
          <w:sz w:val="22"/>
          <w:szCs w:val="22"/>
        </w:rPr>
        <w:t xml:space="preserve"> </w:t>
      </w:r>
      <w:r w:rsidRPr="005F6E1E">
        <w:rPr>
          <w:rFonts w:asciiTheme="majorHAnsi" w:hAnsiTheme="majorHAnsi"/>
          <w:sz w:val="22"/>
          <w:szCs w:val="22"/>
        </w:rPr>
        <w:t>underdevelopment in TBM in the distal tibia and distal femur, their</w:t>
      </w:r>
      <w:r>
        <w:rPr>
          <w:rFonts w:asciiTheme="majorHAnsi" w:hAnsiTheme="majorHAnsi"/>
          <w:sz w:val="22"/>
          <w:szCs w:val="22"/>
        </w:rPr>
        <w:t xml:space="preserve"> </w:t>
      </w:r>
      <w:r w:rsidRPr="005F6E1E">
        <w:rPr>
          <w:rFonts w:asciiTheme="majorHAnsi" w:hAnsiTheme="majorHAnsi"/>
          <w:sz w:val="22"/>
          <w:szCs w:val="22"/>
        </w:rPr>
        <w:t>most commonly fractured bones [6], which becomes more</w:t>
      </w:r>
      <w:r w:rsidR="00563E12">
        <w:rPr>
          <w:rFonts w:asciiTheme="majorHAnsi" w:hAnsiTheme="majorHAnsi"/>
          <w:sz w:val="22"/>
          <w:szCs w:val="22"/>
        </w:rPr>
        <w:t xml:space="preserve"> </w:t>
      </w:r>
      <w:r w:rsidRPr="005F6E1E">
        <w:rPr>
          <w:rFonts w:asciiTheme="majorHAnsi" w:hAnsiTheme="majorHAnsi"/>
          <w:sz w:val="22"/>
          <w:szCs w:val="22"/>
        </w:rPr>
        <w:t>pronounced with distance from the growth plate. Treatments that</w:t>
      </w:r>
      <w:r>
        <w:rPr>
          <w:rFonts w:asciiTheme="majorHAnsi" w:hAnsiTheme="majorHAnsi"/>
          <w:sz w:val="22"/>
          <w:szCs w:val="22"/>
        </w:rPr>
        <w:t xml:space="preserve"> </w:t>
      </w:r>
      <w:r w:rsidRPr="005F6E1E">
        <w:rPr>
          <w:rFonts w:asciiTheme="majorHAnsi" w:hAnsiTheme="majorHAnsi"/>
          <w:sz w:val="22"/>
          <w:szCs w:val="22"/>
        </w:rPr>
        <w:t>offset this compromised bone pattern are needed.</w:t>
      </w:r>
      <w:r>
        <w:rPr>
          <w:rFonts w:asciiTheme="majorHAnsi" w:hAnsiTheme="majorHAnsi"/>
          <w:sz w:val="22"/>
          <w:szCs w:val="22"/>
        </w:rPr>
        <w:t xml:space="preserve"> </w:t>
      </w:r>
    </w:p>
    <w:p w:rsidR="005F6E1E" w:rsidRDefault="005F6E1E" w:rsidP="005F6E1E">
      <w:pPr>
        <w:autoSpaceDE w:val="0"/>
        <w:autoSpaceDN w:val="0"/>
        <w:adjustRightInd w:val="0"/>
        <w:rPr>
          <w:rFonts w:asciiTheme="majorHAnsi" w:hAnsiTheme="majorHAnsi"/>
          <w:sz w:val="22"/>
          <w:szCs w:val="22"/>
        </w:rPr>
      </w:pPr>
    </w:p>
    <w:p w:rsidR="00370846" w:rsidRDefault="00370846" w:rsidP="005F6E1E">
      <w:pPr>
        <w:autoSpaceDE w:val="0"/>
        <w:autoSpaceDN w:val="0"/>
        <w:adjustRightInd w:val="0"/>
        <w:rPr>
          <w:rFonts w:asciiTheme="majorHAnsi" w:hAnsiTheme="majorHAnsi"/>
          <w:sz w:val="22"/>
          <w:szCs w:val="22"/>
        </w:rPr>
      </w:pPr>
      <w:r w:rsidRPr="00370846">
        <w:rPr>
          <w:rFonts w:asciiTheme="majorHAnsi" w:hAnsiTheme="majorHAnsi"/>
          <w:noProof/>
          <w:sz w:val="22"/>
          <w:szCs w:val="22"/>
          <w:lang w:eastAsia="en-US"/>
        </w:rPr>
        <w:drawing>
          <wp:inline distT="0" distB="0" distL="0" distR="0">
            <wp:extent cx="2657475" cy="2362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7475" cy="2362200"/>
                    </a:xfrm>
                    <a:prstGeom prst="rect">
                      <a:avLst/>
                    </a:prstGeom>
                    <a:noFill/>
                    <a:ln>
                      <a:noFill/>
                    </a:ln>
                  </pic:spPr>
                </pic:pic>
              </a:graphicData>
            </a:graphic>
          </wp:inline>
        </w:drawing>
      </w:r>
    </w:p>
    <w:p w:rsidR="005F6E1E" w:rsidRDefault="005F6E1E" w:rsidP="005F6E1E">
      <w:pPr>
        <w:autoSpaceDE w:val="0"/>
        <w:autoSpaceDN w:val="0"/>
        <w:adjustRightInd w:val="0"/>
        <w:rPr>
          <w:rFonts w:asciiTheme="majorHAnsi" w:hAnsiTheme="majorHAnsi"/>
          <w:sz w:val="22"/>
          <w:szCs w:val="22"/>
        </w:rPr>
      </w:pPr>
      <w:r w:rsidRPr="00370846">
        <w:rPr>
          <w:rFonts w:asciiTheme="majorHAnsi" w:hAnsiTheme="majorHAnsi"/>
          <w:b/>
          <w:sz w:val="22"/>
          <w:szCs w:val="22"/>
        </w:rPr>
        <w:t>Figure 1</w:t>
      </w:r>
      <w:r w:rsidRPr="005F6E1E">
        <w:rPr>
          <w:rFonts w:asciiTheme="majorHAnsi" w:hAnsiTheme="majorHAnsi"/>
          <w:sz w:val="22"/>
          <w:szCs w:val="22"/>
        </w:rPr>
        <w:t xml:space="preserve">. </w:t>
      </w:r>
      <w:r w:rsidR="00370846">
        <w:rPr>
          <w:rFonts w:asciiTheme="majorHAnsi" w:hAnsiTheme="majorHAnsi"/>
          <w:sz w:val="22"/>
          <w:szCs w:val="22"/>
        </w:rPr>
        <w:t>R</w:t>
      </w:r>
      <w:r w:rsidRPr="005F6E1E">
        <w:rPr>
          <w:rFonts w:asciiTheme="majorHAnsi" w:hAnsiTheme="majorHAnsi"/>
          <w:sz w:val="22"/>
          <w:szCs w:val="22"/>
        </w:rPr>
        <w:t>egions of interest (red box) were identified using coronal magnetic resonance images</w:t>
      </w:r>
      <w:r>
        <w:rPr>
          <w:rFonts w:asciiTheme="majorHAnsi" w:hAnsiTheme="majorHAnsi"/>
          <w:sz w:val="22"/>
          <w:szCs w:val="22"/>
        </w:rPr>
        <w:t xml:space="preserve"> </w:t>
      </w:r>
      <w:r w:rsidRPr="005F6E1E">
        <w:rPr>
          <w:rFonts w:asciiTheme="majorHAnsi" w:hAnsiTheme="majorHAnsi"/>
          <w:sz w:val="22"/>
          <w:szCs w:val="22"/>
        </w:rPr>
        <w:t>of the distal tibia (a) and distal femur (b). Trabecular bone microarchitecture was analyzed using consecutive</w:t>
      </w:r>
      <w:r>
        <w:rPr>
          <w:rFonts w:asciiTheme="majorHAnsi" w:hAnsiTheme="majorHAnsi"/>
          <w:sz w:val="22"/>
          <w:szCs w:val="22"/>
        </w:rPr>
        <w:t xml:space="preserve"> </w:t>
      </w:r>
      <w:r w:rsidRPr="005F6E1E">
        <w:rPr>
          <w:rFonts w:asciiTheme="majorHAnsi" w:hAnsiTheme="majorHAnsi"/>
          <w:sz w:val="22"/>
          <w:szCs w:val="22"/>
        </w:rPr>
        <w:t>axial images of the medial half of the distal tibia (c) and the lateral half of the distal femur (d) (blue line).</w:t>
      </w:r>
    </w:p>
    <w:p w:rsidR="00370846" w:rsidRDefault="00370846" w:rsidP="005F6E1E">
      <w:pPr>
        <w:autoSpaceDE w:val="0"/>
        <w:autoSpaceDN w:val="0"/>
        <w:adjustRightInd w:val="0"/>
        <w:rPr>
          <w:rFonts w:asciiTheme="majorHAnsi" w:hAnsiTheme="majorHAnsi"/>
          <w:sz w:val="22"/>
          <w:szCs w:val="22"/>
        </w:rPr>
      </w:pPr>
    </w:p>
    <w:p w:rsidR="00370846" w:rsidRDefault="00370846" w:rsidP="005F6E1E">
      <w:pPr>
        <w:autoSpaceDE w:val="0"/>
        <w:autoSpaceDN w:val="0"/>
        <w:adjustRightInd w:val="0"/>
        <w:rPr>
          <w:rFonts w:asciiTheme="majorHAnsi" w:hAnsiTheme="majorHAnsi"/>
          <w:sz w:val="22"/>
          <w:szCs w:val="22"/>
        </w:rPr>
      </w:pPr>
      <w:r w:rsidRPr="00370846">
        <w:rPr>
          <w:rFonts w:asciiTheme="majorHAnsi" w:hAnsiTheme="majorHAnsi"/>
          <w:noProof/>
          <w:sz w:val="22"/>
          <w:szCs w:val="22"/>
          <w:lang w:eastAsia="en-US"/>
        </w:rPr>
        <w:drawing>
          <wp:inline distT="0" distB="0" distL="0" distR="0">
            <wp:extent cx="1933575" cy="2114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2114550"/>
                    </a:xfrm>
                    <a:prstGeom prst="rect">
                      <a:avLst/>
                    </a:prstGeom>
                    <a:noFill/>
                    <a:ln>
                      <a:noFill/>
                    </a:ln>
                  </pic:spPr>
                </pic:pic>
              </a:graphicData>
            </a:graphic>
          </wp:inline>
        </w:drawing>
      </w:r>
    </w:p>
    <w:p w:rsidR="005F6E1E" w:rsidRDefault="005F6E1E" w:rsidP="005F6E1E">
      <w:pPr>
        <w:autoSpaceDE w:val="0"/>
        <w:autoSpaceDN w:val="0"/>
        <w:adjustRightInd w:val="0"/>
        <w:rPr>
          <w:rFonts w:asciiTheme="majorHAnsi" w:hAnsiTheme="majorHAnsi"/>
          <w:sz w:val="22"/>
          <w:szCs w:val="22"/>
        </w:rPr>
      </w:pPr>
      <w:r w:rsidRPr="00370846">
        <w:rPr>
          <w:rFonts w:asciiTheme="majorHAnsi" w:hAnsiTheme="majorHAnsi"/>
          <w:b/>
          <w:sz w:val="22"/>
          <w:szCs w:val="22"/>
        </w:rPr>
        <w:t>Figure 2</w:t>
      </w:r>
      <w:r w:rsidRPr="005F6E1E">
        <w:rPr>
          <w:rFonts w:asciiTheme="majorHAnsi" w:hAnsiTheme="majorHAnsi"/>
          <w:sz w:val="22"/>
          <w:szCs w:val="22"/>
        </w:rPr>
        <w:t xml:space="preserve">. </w:t>
      </w:r>
      <w:r w:rsidR="00370846">
        <w:rPr>
          <w:rFonts w:asciiTheme="majorHAnsi" w:hAnsiTheme="majorHAnsi"/>
          <w:sz w:val="22"/>
          <w:szCs w:val="22"/>
        </w:rPr>
        <w:t>R</w:t>
      </w:r>
      <w:r w:rsidRPr="005F6E1E">
        <w:rPr>
          <w:rFonts w:asciiTheme="majorHAnsi" w:hAnsiTheme="majorHAnsi"/>
          <w:sz w:val="22"/>
          <w:szCs w:val="22"/>
        </w:rPr>
        <w:t>epresentative binarized images</w:t>
      </w:r>
      <w:r>
        <w:rPr>
          <w:rFonts w:asciiTheme="majorHAnsi" w:hAnsiTheme="majorHAnsi"/>
          <w:sz w:val="22"/>
          <w:szCs w:val="22"/>
        </w:rPr>
        <w:t xml:space="preserve"> </w:t>
      </w:r>
      <w:r w:rsidRPr="005F6E1E">
        <w:rPr>
          <w:rFonts w:asciiTheme="majorHAnsi" w:hAnsiTheme="majorHAnsi"/>
          <w:sz w:val="22"/>
          <w:szCs w:val="22"/>
        </w:rPr>
        <w:t>(white is trabecular bone) from a set of twin girls</w:t>
      </w:r>
      <w:r>
        <w:rPr>
          <w:rFonts w:asciiTheme="majorHAnsi" w:hAnsiTheme="majorHAnsi"/>
          <w:sz w:val="22"/>
          <w:szCs w:val="22"/>
        </w:rPr>
        <w:t xml:space="preserve"> </w:t>
      </w:r>
      <w:r w:rsidRPr="005F6E1E">
        <w:rPr>
          <w:rFonts w:asciiTheme="majorHAnsi" w:hAnsiTheme="majorHAnsi"/>
          <w:sz w:val="22"/>
          <w:szCs w:val="22"/>
        </w:rPr>
        <w:t>(aged 5.6 yrs) show the underdevelopment of the</w:t>
      </w:r>
      <w:r>
        <w:rPr>
          <w:rFonts w:asciiTheme="majorHAnsi" w:hAnsiTheme="majorHAnsi"/>
          <w:sz w:val="22"/>
          <w:szCs w:val="22"/>
        </w:rPr>
        <w:t xml:space="preserve"> </w:t>
      </w:r>
      <w:r w:rsidRPr="005F6E1E">
        <w:rPr>
          <w:rFonts w:asciiTheme="majorHAnsi" w:hAnsiTheme="majorHAnsi"/>
          <w:sz w:val="22"/>
          <w:szCs w:val="22"/>
        </w:rPr>
        <w:t>medial half of the distal tibia (a, c) and lateral half of</w:t>
      </w:r>
      <w:r>
        <w:rPr>
          <w:rFonts w:asciiTheme="majorHAnsi" w:hAnsiTheme="majorHAnsi"/>
          <w:sz w:val="22"/>
          <w:szCs w:val="22"/>
        </w:rPr>
        <w:t xml:space="preserve"> </w:t>
      </w:r>
      <w:r w:rsidRPr="005F6E1E">
        <w:rPr>
          <w:rFonts w:asciiTheme="majorHAnsi" w:hAnsiTheme="majorHAnsi"/>
          <w:sz w:val="22"/>
          <w:szCs w:val="22"/>
        </w:rPr>
        <w:t>the distal femur (b, d) in the twin with CP (a, b) and</w:t>
      </w:r>
      <w:r>
        <w:rPr>
          <w:rFonts w:asciiTheme="majorHAnsi" w:hAnsiTheme="majorHAnsi"/>
          <w:sz w:val="22"/>
          <w:szCs w:val="22"/>
        </w:rPr>
        <w:t xml:space="preserve"> </w:t>
      </w:r>
      <w:r w:rsidRPr="005F6E1E">
        <w:rPr>
          <w:rFonts w:asciiTheme="majorHAnsi" w:hAnsiTheme="majorHAnsi"/>
          <w:sz w:val="22"/>
          <w:szCs w:val="22"/>
        </w:rPr>
        <w:t>the typically developing twin (c, d).</w:t>
      </w:r>
    </w:p>
    <w:p w:rsidR="005F6E1E" w:rsidRPr="005F6E1E" w:rsidRDefault="00370846" w:rsidP="005F6E1E">
      <w:pPr>
        <w:autoSpaceDE w:val="0"/>
        <w:autoSpaceDN w:val="0"/>
        <w:adjustRightInd w:val="0"/>
        <w:rPr>
          <w:rFonts w:asciiTheme="majorHAnsi" w:hAnsiTheme="majorHAnsi"/>
          <w:sz w:val="22"/>
          <w:szCs w:val="22"/>
        </w:rPr>
      </w:pPr>
      <w:r w:rsidRPr="00370846">
        <w:rPr>
          <w:rFonts w:asciiTheme="majorHAnsi" w:hAnsiTheme="majorHAnsi"/>
          <w:noProof/>
          <w:sz w:val="22"/>
          <w:szCs w:val="22"/>
          <w:lang w:eastAsia="en-US"/>
        </w:rPr>
        <w:drawing>
          <wp:inline distT="0" distB="0" distL="0" distR="0">
            <wp:extent cx="4029075" cy="5524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9075" cy="5524500"/>
                    </a:xfrm>
                    <a:prstGeom prst="rect">
                      <a:avLst/>
                    </a:prstGeom>
                    <a:noFill/>
                    <a:ln>
                      <a:noFill/>
                    </a:ln>
                  </pic:spPr>
                </pic:pic>
              </a:graphicData>
            </a:graphic>
          </wp:inline>
        </w:drawing>
      </w:r>
    </w:p>
    <w:p w:rsidR="005F6E1E" w:rsidRDefault="005F6E1E" w:rsidP="005F6E1E">
      <w:pPr>
        <w:autoSpaceDE w:val="0"/>
        <w:autoSpaceDN w:val="0"/>
        <w:adjustRightInd w:val="0"/>
        <w:rPr>
          <w:rFonts w:asciiTheme="majorHAnsi" w:hAnsiTheme="majorHAnsi"/>
          <w:sz w:val="22"/>
          <w:szCs w:val="22"/>
        </w:rPr>
      </w:pPr>
      <w:r w:rsidRPr="00370846">
        <w:rPr>
          <w:rFonts w:asciiTheme="majorHAnsi" w:hAnsiTheme="majorHAnsi"/>
          <w:b/>
          <w:sz w:val="22"/>
          <w:szCs w:val="22"/>
        </w:rPr>
        <w:t>Figure 3</w:t>
      </w:r>
      <w:r w:rsidRPr="005F6E1E">
        <w:rPr>
          <w:rFonts w:asciiTheme="majorHAnsi" w:hAnsiTheme="majorHAnsi"/>
          <w:sz w:val="22"/>
          <w:szCs w:val="22"/>
        </w:rPr>
        <w:t xml:space="preserve">. </w:t>
      </w:r>
      <w:r w:rsidR="00370846">
        <w:rPr>
          <w:rFonts w:asciiTheme="majorHAnsi" w:hAnsiTheme="majorHAnsi"/>
          <w:sz w:val="22"/>
          <w:szCs w:val="22"/>
        </w:rPr>
        <w:t>S</w:t>
      </w:r>
      <w:r w:rsidRPr="005F6E1E">
        <w:rPr>
          <w:rFonts w:asciiTheme="majorHAnsi" w:hAnsiTheme="majorHAnsi"/>
          <w:sz w:val="22"/>
          <w:szCs w:val="22"/>
        </w:rPr>
        <w:t>catter plots show the relationships between distance from the</w:t>
      </w:r>
      <w:r>
        <w:rPr>
          <w:rFonts w:asciiTheme="majorHAnsi" w:hAnsiTheme="majorHAnsi"/>
          <w:sz w:val="22"/>
          <w:szCs w:val="22"/>
        </w:rPr>
        <w:t xml:space="preserve"> </w:t>
      </w:r>
      <w:r w:rsidRPr="005F6E1E">
        <w:rPr>
          <w:rFonts w:asciiTheme="majorHAnsi" w:hAnsiTheme="majorHAnsi"/>
          <w:sz w:val="22"/>
          <w:szCs w:val="22"/>
        </w:rPr>
        <w:t>growth plate at the distal tibia (a–d) and distal femur (e–h) and apparent bone volume</w:t>
      </w:r>
      <w:r>
        <w:rPr>
          <w:rFonts w:asciiTheme="majorHAnsi" w:hAnsiTheme="majorHAnsi"/>
          <w:sz w:val="22"/>
          <w:szCs w:val="22"/>
        </w:rPr>
        <w:t xml:space="preserve"> </w:t>
      </w:r>
      <w:r w:rsidRPr="005F6E1E">
        <w:rPr>
          <w:rFonts w:asciiTheme="majorHAnsi" w:hAnsiTheme="majorHAnsi"/>
          <w:sz w:val="22"/>
          <w:szCs w:val="22"/>
        </w:rPr>
        <w:t>to total volume (appBV/TV) (a, e), trabecular number (appTb.N) (b, f), trabecular</w:t>
      </w:r>
      <w:r>
        <w:rPr>
          <w:rFonts w:asciiTheme="majorHAnsi" w:hAnsiTheme="majorHAnsi"/>
          <w:sz w:val="22"/>
          <w:szCs w:val="22"/>
        </w:rPr>
        <w:t xml:space="preserve"> </w:t>
      </w:r>
      <w:r w:rsidRPr="005F6E1E">
        <w:rPr>
          <w:rFonts w:asciiTheme="majorHAnsi" w:hAnsiTheme="majorHAnsi"/>
          <w:sz w:val="22"/>
          <w:szCs w:val="22"/>
        </w:rPr>
        <w:t>thickness (appTb.Th) (c, g) and trabecular separation (appTb.Sp) (d, h) in children</w:t>
      </w:r>
      <w:r>
        <w:rPr>
          <w:rFonts w:asciiTheme="majorHAnsi" w:hAnsiTheme="majorHAnsi"/>
          <w:sz w:val="22"/>
          <w:szCs w:val="22"/>
        </w:rPr>
        <w:t xml:space="preserve"> </w:t>
      </w:r>
      <w:r w:rsidRPr="005F6E1E">
        <w:rPr>
          <w:rFonts w:asciiTheme="majorHAnsi" w:hAnsiTheme="majorHAnsi"/>
          <w:sz w:val="22"/>
          <w:szCs w:val="22"/>
        </w:rPr>
        <w:t>with CP and controls. *indicates steeper slope compared to controls, p &lt; 0.05.</w:t>
      </w:r>
      <w:r>
        <w:rPr>
          <w:rFonts w:asciiTheme="majorHAnsi" w:hAnsiTheme="majorHAnsi"/>
          <w:sz w:val="22"/>
          <w:szCs w:val="22"/>
        </w:rPr>
        <w:t xml:space="preserve"> </w:t>
      </w:r>
    </w:p>
    <w:p w:rsidR="005F6E1E" w:rsidRDefault="005F6E1E" w:rsidP="005F6E1E">
      <w:pPr>
        <w:autoSpaceDE w:val="0"/>
        <w:autoSpaceDN w:val="0"/>
        <w:adjustRightInd w:val="0"/>
        <w:rPr>
          <w:rFonts w:asciiTheme="majorHAnsi" w:hAnsiTheme="majorHAnsi"/>
          <w:sz w:val="22"/>
          <w:szCs w:val="22"/>
        </w:rPr>
      </w:pPr>
    </w:p>
    <w:p w:rsidR="005F6E1E" w:rsidRPr="005F6E1E" w:rsidRDefault="005F6E1E" w:rsidP="005F6E1E">
      <w:pPr>
        <w:autoSpaceDE w:val="0"/>
        <w:autoSpaceDN w:val="0"/>
        <w:adjustRightInd w:val="0"/>
        <w:rPr>
          <w:rFonts w:asciiTheme="majorHAnsi" w:hAnsiTheme="majorHAnsi"/>
          <w:sz w:val="22"/>
          <w:szCs w:val="22"/>
        </w:rPr>
      </w:pPr>
    </w:p>
    <w:p w:rsidR="005F6E1E" w:rsidRPr="005F6E1E" w:rsidRDefault="005F6E1E" w:rsidP="005F6E1E">
      <w:pPr>
        <w:autoSpaceDE w:val="0"/>
        <w:autoSpaceDN w:val="0"/>
        <w:adjustRightInd w:val="0"/>
        <w:rPr>
          <w:rFonts w:asciiTheme="majorHAnsi" w:hAnsiTheme="majorHAnsi"/>
          <w:b/>
          <w:sz w:val="22"/>
          <w:szCs w:val="22"/>
        </w:rPr>
      </w:pPr>
      <w:r w:rsidRPr="005F6E1E">
        <w:rPr>
          <w:rFonts w:asciiTheme="majorHAnsi" w:hAnsiTheme="majorHAnsi"/>
          <w:b/>
          <w:sz w:val="22"/>
          <w:szCs w:val="22"/>
        </w:rPr>
        <w:t>References</w:t>
      </w:r>
    </w:p>
    <w:p w:rsidR="005F6E1E" w:rsidRPr="005F6E1E" w:rsidRDefault="005F6E1E" w:rsidP="005F6E1E">
      <w:pPr>
        <w:autoSpaceDE w:val="0"/>
        <w:autoSpaceDN w:val="0"/>
        <w:adjustRightInd w:val="0"/>
        <w:rPr>
          <w:rFonts w:asciiTheme="majorHAnsi" w:hAnsiTheme="majorHAnsi"/>
          <w:sz w:val="22"/>
          <w:szCs w:val="22"/>
        </w:rPr>
      </w:pPr>
      <w:r w:rsidRPr="005F6E1E">
        <w:rPr>
          <w:rFonts w:asciiTheme="majorHAnsi" w:hAnsiTheme="majorHAnsi"/>
          <w:sz w:val="22"/>
          <w:szCs w:val="22"/>
        </w:rPr>
        <w:t>[1] Stackhouse SK, Binder-Macleod SA, Lee SC. Voluntary muscle activation, contractile properties, and fatigability in</w:t>
      </w:r>
      <w:r w:rsidR="00370846">
        <w:rPr>
          <w:rFonts w:asciiTheme="majorHAnsi" w:hAnsiTheme="majorHAnsi"/>
          <w:sz w:val="22"/>
          <w:szCs w:val="22"/>
        </w:rPr>
        <w:t xml:space="preserve"> </w:t>
      </w:r>
      <w:r w:rsidRPr="005F6E1E">
        <w:rPr>
          <w:rFonts w:asciiTheme="majorHAnsi" w:hAnsiTheme="majorHAnsi"/>
          <w:sz w:val="22"/>
          <w:szCs w:val="22"/>
        </w:rPr>
        <w:t>children with and without cerebral palsy. Muscle &amp; nerve 2005;31: 594-601.</w:t>
      </w:r>
    </w:p>
    <w:p w:rsidR="005F6E1E" w:rsidRPr="005F6E1E" w:rsidRDefault="005F6E1E" w:rsidP="005F6E1E">
      <w:pPr>
        <w:autoSpaceDE w:val="0"/>
        <w:autoSpaceDN w:val="0"/>
        <w:adjustRightInd w:val="0"/>
        <w:rPr>
          <w:rFonts w:asciiTheme="majorHAnsi" w:hAnsiTheme="majorHAnsi"/>
          <w:sz w:val="22"/>
          <w:szCs w:val="22"/>
        </w:rPr>
      </w:pPr>
      <w:r w:rsidRPr="005F6E1E">
        <w:rPr>
          <w:rFonts w:asciiTheme="majorHAnsi" w:hAnsiTheme="majorHAnsi"/>
          <w:sz w:val="22"/>
          <w:szCs w:val="22"/>
        </w:rPr>
        <w:t>[2] Moreau NG, Falvo MJ, Damiano DL. Rapid force generation is impaired in cerebral palsy and is related to</w:t>
      </w:r>
      <w:r w:rsidR="00370846">
        <w:rPr>
          <w:rFonts w:asciiTheme="majorHAnsi" w:hAnsiTheme="majorHAnsi"/>
          <w:sz w:val="22"/>
          <w:szCs w:val="22"/>
        </w:rPr>
        <w:t xml:space="preserve"> </w:t>
      </w:r>
      <w:r w:rsidRPr="005F6E1E">
        <w:rPr>
          <w:rFonts w:asciiTheme="majorHAnsi" w:hAnsiTheme="majorHAnsi"/>
          <w:sz w:val="22"/>
          <w:szCs w:val="22"/>
        </w:rPr>
        <w:t>decreased muscle size and functional mobility. Gait &amp; posture 2012;35: 154-8.</w:t>
      </w:r>
    </w:p>
    <w:p w:rsidR="005F6E1E" w:rsidRPr="005F6E1E" w:rsidRDefault="005F6E1E" w:rsidP="005F6E1E">
      <w:pPr>
        <w:autoSpaceDE w:val="0"/>
        <w:autoSpaceDN w:val="0"/>
        <w:adjustRightInd w:val="0"/>
        <w:rPr>
          <w:rFonts w:asciiTheme="majorHAnsi" w:hAnsiTheme="majorHAnsi"/>
          <w:sz w:val="22"/>
          <w:szCs w:val="22"/>
        </w:rPr>
      </w:pPr>
      <w:r w:rsidRPr="005F6E1E">
        <w:rPr>
          <w:rFonts w:asciiTheme="majorHAnsi" w:hAnsiTheme="majorHAnsi"/>
          <w:sz w:val="22"/>
          <w:szCs w:val="22"/>
        </w:rPr>
        <w:t>[3] Johnson DL, Miller F, Subramanian P, Modlesky CM. Adipose tissue infiltration of skeletal muscle in children with</w:t>
      </w:r>
      <w:r w:rsidR="00370846">
        <w:rPr>
          <w:rFonts w:asciiTheme="majorHAnsi" w:hAnsiTheme="majorHAnsi"/>
          <w:sz w:val="22"/>
          <w:szCs w:val="22"/>
        </w:rPr>
        <w:t xml:space="preserve"> </w:t>
      </w:r>
      <w:r w:rsidRPr="005F6E1E">
        <w:rPr>
          <w:rFonts w:asciiTheme="majorHAnsi" w:hAnsiTheme="majorHAnsi"/>
          <w:sz w:val="22"/>
          <w:szCs w:val="22"/>
        </w:rPr>
        <w:t>cerebral palsy. The Journal of pediatrics 2009;154: 715-20.</w:t>
      </w:r>
    </w:p>
    <w:p w:rsidR="005F6E1E" w:rsidRPr="005F6E1E" w:rsidRDefault="005F6E1E" w:rsidP="005F6E1E">
      <w:pPr>
        <w:autoSpaceDE w:val="0"/>
        <w:autoSpaceDN w:val="0"/>
        <w:adjustRightInd w:val="0"/>
        <w:rPr>
          <w:rFonts w:asciiTheme="majorHAnsi" w:hAnsiTheme="majorHAnsi"/>
          <w:sz w:val="22"/>
          <w:szCs w:val="22"/>
        </w:rPr>
      </w:pPr>
      <w:r w:rsidRPr="005F6E1E">
        <w:rPr>
          <w:rFonts w:asciiTheme="majorHAnsi" w:hAnsiTheme="majorHAnsi"/>
          <w:sz w:val="22"/>
          <w:szCs w:val="22"/>
        </w:rPr>
        <w:t>[4] Modlesky CM, Kanoff SA, Johnson DL, Subramanian P, Miller F. Evaluation of the femoral midshaft in children</w:t>
      </w:r>
      <w:r w:rsidR="00370846">
        <w:rPr>
          <w:rFonts w:asciiTheme="majorHAnsi" w:hAnsiTheme="majorHAnsi"/>
          <w:sz w:val="22"/>
          <w:szCs w:val="22"/>
        </w:rPr>
        <w:t xml:space="preserve"> </w:t>
      </w:r>
      <w:r w:rsidRPr="005F6E1E">
        <w:rPr>
          <w:rFonts w:asciiTheme="majorHAnsi" w:hAnsiTheme="majorHAnsi"/>
          <w:sz w:val="22"/>
          <w:szCs w:val="22"/>
        </w:rPr>
        <w:t>with cerebral palsy using magnetic resonance imaging. Osteoporosis</w:t>
      </w:r>
      <w:r w:rsidR="00563E12">
        <w:rPr>
          <w:rFonts w:asciiTheme="majorHAnsi" w:hAnsiTheme="majorHAnsi"/>
          <w:sz w:val="22"/>
          <w:szCs w:val="22"/>
        </w:rPr>
        <w:t xml:space="preserve">  </w:t>
      </w:r>
      <w:r w:rsidRPr="005F6E1E">
        <w:rPr>
          <w:rFonts w:asciiTheme="majorHAnsi" w:hAnsiTheme="majorHAnsi"/>
          <w:sz w:val="22"/>
          <w:szCs w:val="22"/>
        </w:rPr>
        <w:t>international : a j</w:t>
      </w:r>
      <w:r w:rsidR="00370846">
        <w:rPr>
          <w:rFonts w:asciiTheme="majorHAnsi" w:hAnsiTheme="majorHAnsi"/>
          <w:sz w:val="22"/>
          <w:szCs w:val="22"/>
        </w:rPr>
        <w:t xml:space="preserve">ournal established as result of </w:t>
      </w:r>
      <w:r w:rsidRPr="005F6E1E">
        <w:rPr>
          <w:rFonts w:asciiTheme="majorHAnsi" w:hAnsiTheme="majorHAnsi"/>
          <w:sz w:val="22"/>
          <w:szCs w:val="22"/>
        </w:rPr>
        <w:t>cooperation between the European Foundation for Osteoporosis and the National Osteoporosis Foundation of the USA</w:t>
      </w:r>
    </w:p>
    <w:p w:rsidR="005F6E1E" w:rsidRPr="005F6E1E" w:rsidRDefault="005F6E1E" w:rsidP="005F6E1E">
      <w:pPr>
        <w:autoSpaceDE w:val="0"/>
        <w:autoSpaceDN w:val="0"/>
        <w:adjustRightInd w:val="0"/>
        <w:rPr>
          <w:rFonts w:asciiTheme="majorHAnsi" w:hAnsiTheme="majorHAnsi"/>
          <w:sz w:val="22"/>
          <w:szCs w:val="22"/>
        </w:rPr>
      </w:pPr>
      <w:r w:rsidRPr="005F6E1E">
        <w:rPr>
          <w:rFonts w:asciiTheme="majorHAnsi" w:hAnsiTheme="majorHAnsi"/>
          <w:sz w:val="22"/>
          <w:szCs w:val="22"/>
        </w:rPr>
        <w:t>2009;20: 609-15.</w:t>
      </w:r>
    </w:p>
    <w:p w:rsidR="005F6E1E" w:rsidRPr="005F6E1E" w:rsidRDefault="005F6E1E" w:rsidP="005F6E1E">
      <w:pPr>
        <w:autoSpaceDE w:val="0"/>
        <w:autoSpaceDN w:val="0"/>
        <w:adjustRightInd w:val="0"/>
        <w:rPr>
          <w:rFonts w:asciiTheme="majorHAnsi" w:hAnsiTheme="majorHAnsi"/>
          <w:sz w:val="22"/>
          <w:szCs w:val="22"/>
        </w:rPr>
      </w:pPr>
      <w:r w:rsidRPr="005F6E1E">
        <w:rPr>
          <w:rFonts w:asciiTheme="majorHAnsi" w:hAnsiTheme="majorHAnsi"/>
          <w:sz w:val="22"/>
          <w:szCs w:val="22"/>
        </w:rPr>
        <w:t>[5] Carlon SL, Taylor NF, Dodd KJ, Shields N. Differences in habitual physical activity levels of young people with</w:t>
      </w:r>
      <w:r w:rsidR="00370846">
        <w:rPr>
          <w:rFonts w:asciiTheme="majorHAnsi" w:hAnsiTheme="majorHAnsi"/>
          <w:sz w:val="22"/>
          <w:szCs w:val="22"/>
        </w:rPr>
        <w:t xml:space="preserve"> </w:t>
      </w:r>
      <w:r w:rsidRPr="005F6E1E">
        <w:rPr>
          <w:rFonts w:asciiTheme="majorHAnsi" w:hAnsiTheme="majorHAnsi"/>
          <w:sz w:val="22"/>
          <w:szCs w:val="22"/>
        </w:rPr>
        <w:t>cerebral palsy and their typically developing peers: a systematic review. Disability and rehabilitation 2013;35: 647-55.</w:t>
      </w:r>
    </w:p>
    <w:p w:rsidR="005F6E1E" w:rsidRPr="005F6E1E" w:rsidRDefault="005F6E1E" w:rsidP="005F6E1E">
      <w:pPr>
        <w:autoSpaceDE w:val="0"/>
        <w:autoSpaceDN w:val="0"/>
        <w:adjustRightInd w:val="0"/>
        <w:rPr>
          <w:rFonts w:asciiTheme="majorHAnsi" w:hAnsiTheme="majorHAnsi"/>
          <w:sz w:val="22"/>
          <w:szCs w:val="22"/>
        </w:rPr>
      </w:pPr>
      <w:r w:rsidRPr="005F6E1E">
        <w:rPr>
          <w:rFonts w:asciiTheme="majorHAnsi" w:hAnsiTheme="majorHAnsi"/>
          <w:sz w:val="22"/>
          <w:szCs w:val="22"/>
        </w:rPr>
        <w:t>[6] Presedo A, Dabney KW, Miller F. Fractures in patients with cerebral palsy. Journal of pediatric orthopedics</w:t>
      </w:r>
      <w:r w:rsidR="00370846">
        <w:rPr>
          <w:rFonts w:asciiTheme="majorHAnsi" w:hAnsiTheme="majorHAnsi"/>
          <w:sz w:val="22"/>
          <w:szCs w:val="22"/>
        </w:rPr>
        <w:t xml:space="preserve"> </w:t>
      </w:r>
      <w:r w:rsidRPr="005F6E1E">
        <w:rPr>
          <w:rFonts w:asciiTheme="majorHAnsi" w:hAnsiTheme="majorHAnsi"/>
          <w:sz w:val="22"/>
          <w:szCs w:val="22"/>
        </w:rPr>
        <w:t>2007;27: 147-53.</w:t>
      </w:r>
    </w:p>
    <w:p w:rsidR="005F6E1E" w:rsidRDefault="005F6E1E" w:rsidP="005F6E1E">
      <w:pPr>
        <w:autoSpaceDE w:val="0"/>
        <w:autoSpaceDN w:val="0"/>
        <w:adjustRightInd w:val="0"/>
        <w:rPr>
          <w:rFonts w:asciiTheme="majorHAnsi" w:hAnsiTheme="majorHAnsi"/>
          <w:sz w:val="22"/>
          <w:szCs w:val="22"/>
        </w:rPr>
      </w:pPr>
      <w:r w:rsidRPr="005F6E1E">
        <w:rPr>
          <w:rFonts w:asciiTheme="majorHAnsi" w:hAnsiTheme="majorHAnsi"/>
          <w:sz w:val="22"/>
          <w:szCs w:val="22"/>
        </w:rPr>
        <w:t>[7] Modlesky CM, Whitney DG, Singh H, Barbe MF, Kirby JT, Miller F. Underdevelopment of trabecular bone</w:t>
      </w:r>
      <w:r w:rsidR="00370846">
        <w:rPr>
          <w:rFonts w:asciiTheme="majorHAnsi" w:hAnsiTheme="majorHAnsi"/>
          <w:sz w:val="22"/>
          <w:szCs w:val="22"/>
        </w:rPr>
        <w:t xml:space="preserve"> </w:t>
      </w:r>
      <w:r w:rsidRPr="005F6E1E">
        <w:rPr>
          <w:rFonts w:asciiTheme="majorHAnsi" w:hAnsiTheme="majorHAnsi"/>
          <w:sz w:val="22"/>
          <w:szCs w:val="22"/>
        </w:rPr>
        <w:t>microarchitecture in the distal femur of nonambulatory children with cerebral palsy becomes more pronounced with</w:t>
      </w:r>
      <w:r w:rsidR="00370846">
        <w:rPr>
          <w:rFonts w:asciiTheme="majorHAnsi" w:hAnsiTheme="majorHAnsi"/>
          <w:sz w:val="22"/>
          <w:szCs w:val="22"/>
        </w:rPr>
        <w:t xml:space="preserve"> </w:t>
      </w:r>
      <w:r w:rsidRPr="005F6E1E">
        <w:rPr>
          <w:rFonts w:asciiTheme="majorHAnsi" w:hAnsiTheme="majorHAnsi"/>
          <w:sz w:val="22"/>
          <w:szCs w:val="22"/>
        </w:rPr>
        <w:t>distance from the growth plate. Osteoporosis international : a journal established as result of cooperation between the</w:t>
      </w:r>
      <w:r w:rsidR="00370846">
        <w:rPr>
          <w:rFonts w:asciiTheme="majorHAnsi" w:hAnsiTheme="majorHAnsi"/>
          <w:sz w:val="22"/>
          <w:szCs w:val="22"/>
        </w:rPr>
        <w:t xml:space="preserve"> </w:t>
      </w:r>
      <w:r w:rsidRPr="005F6E1E">
        <w:rPr>
          <w:rFonts w:asciiTheme="majorHAnsi" w:hAnsiTheme="majorHAnsi"/>
          <w:sz w:val="22"/>
          <w:szCs w:val="22"/>
        </w:rPr>
        <w:t>European Foundation for Osteoporosis and the National Osteoporosis Foundation of the USA 2015;26: 505-12.</w:t>
      </w:r>
    </w:p>
    <w:p w:rsidR="00370846" w:rsidRDefault="00370846" w:rsidP="005F6E1E">
      <w:pPr>
        <w:autoSpaceDE w:val="0"/>
        <w:autoSpaceDN w:val="0"/>
        <w:adjustRightInd w:val="0"/>
        <w:rPr>
          <w:rFonts w:asciiTheme="majorHAnsi" w:hAnsiTheme="majorHAnsi"/>
          <w:sz w:val="22"/>
          <w:szCs w:val="22"/>
        </w:rPr>
      </w:pPr>
    </w:p>
    <w:p w:rsidR="00CB5EE2" w:rsidRDefault="00CB5EE2">
      <w:pPr>
        <w:spacing w:after="160" w:line="259" w:lineRule="auto"/>
        <w:rPr>
          <w:rFonts w:ascii="Calibri Light" w:hAnsi="Calibri Light"/>
          <w:b/>
          <w:sz w:val="22"/>
          <w:szCs w:val="22"/>
        </w:rPr>
      </w:pPr>
      <w:r>
        <w:rPr>
          <w:rFonts w:ascii="Calibri Light" w:hAnsi="Calibri Light"/>
          <w:b/>
          <w:sz w:val="22"/>
          <w:szCs w:val="22"/>
        </w:rPr>
        <w:br w:type="page"/>
      </w:r>
    </w:p>
    <w:p w:rsidR="00F52085" w:rsidRPr="000B13E2" w:rsidRDefault="00F52085" w:rsidP="00F52085">
      <w:pPr>
        <w:jc w:val="both"/>
        <w:rPr>
          <w:rFonts w:ascii="Calibri Light" w:hAnsi="Calibri Light"/>
          <w:b/>
          <w:sz w:val="22"/>
          <w:szCs w:val="22"/>
        </w:rPr>
      </w:pPr>
      <w:r w:rsidRPr="004C6196">
        <w:rPr>
          <w:rFonts w:ascii="Calibri Light" w:hAnsi="Calibri Light"/>
          <w:b/>
          <w:sz w:val="22"/>
          <w:szCs w:val="22"/>
        </w:rPr>
        <w:t>Overview and Historical Context</w:t>
      </w:r>
      <w:r>
        <w:rPr>
          <w:rFonts w:ascii="Calibri Light" w:hAnsi="Calibri Light"/>
          <w:b/>
        </w:rPr>
        <w:t xml:space="preserve"> - </w:t>
      </w:r>
      <w:r w:rsidRPr="000B13E2">
        <w:rPr>
          <w:rFonts w:ascii="Calibri Light" w:hAnsi="Calibri Light"/>
          <w:b/>
          <w:sz w:val="22"/>
          <w:szCs w:val="22"/>
        </w:rPr>
        <w:t xml:space="preserve">Challenges in Translating Life Sciences Research into Effective Health </w:t>
      </w:r>
      <w:r>
        <w:rPr>
          <w:rFonts w:ascii="Calibri Light" w:hAnsi="Calibri Light"/>
          <w:b/>
        </w:rPr>
        <w:t>Care S</w:t>
      </w:r>
      <w:r w:rsidRPr="000B13E2">
        <w:rPr>
          <w:rFonts w:ascii="Calibri Light" w:hAnsi="Calibri Light"/>
          <w:b/>
          <w:sz w:val="22"/>
          <w:szCs w:val="22"/>
        </w:rPr>
        <w:t>olutions</w:t>
      </w:r>
    </w:p>
    <w:p w:rsidR="00F52085" w:rsidRPr="000B13E2" w:rsidRDefault="00F52085" w:rsidP="00F52085">
      <w:pPr>
        <w:jc w:val="both"/>
        <w:rPr>
          <w:rFonts w:ascii="Calibri Light" w:hAnsi="Calibri Light"/>
          <w:i/>
          <w:sz w:val="22"/>
          <w:szCs w:val="22"/>
        </w:rPr>
      </w:pPr>
      <w:r w:rsidRPr="000B13E2">
        <w:rPr>
          <w:rFonts w:ascii="Calibri Light" w:hAnsi="Calibri Light"/>
          <w:i/>
          <w:sz w:val="22"/>
          <w:szCs w:val="22"/>
        </w:rPr>
        <w:t>Gary Krishnan, MSc, PhD</w:t>
      </w:r>
    </w:p>
    <w:p w:rsidR="00F52085" w:rsidRPr="000B13E2" w:rsidRDefault="00F52085" w:rsidP="00F52085">
      <w:pPr>
        <w:jc w:val="both"/>
        <w:rPr>
          <w:rFonts w:ascii="Calibri Light" w:hAnsi="Calibri Light"/>
          <w:i/>
          <w:sz w:val="22"/>
          <w:szCs w:val="22"/>
        </w:rPr>
      </w:pPr>
      <w:r w:rsidRPr="000B13E2">
        <w:rPr>
          <w:rFonts w:ascii="Calibri Light" w:hAnsi="Calibri Light"/>
          <w:i/>
          <w:sz w:val="22"/>
          <w:szCs w:val="22"/>
        </w:rPr>
        <w:t>Eli Lilly and Company, Indianapolis, IN</w:t>
      </w:r>
    </w:p>
    <w:p w:rsidR="00F52085" w:rsidRPr="000B13E2" w:rsidRDefault="00F52085" w:rsidP="00F52085">
      <w:pPr>
        <w:jc w:val="both"/>
        <w:rPr>
          <w:rFonts w:ascii="Calibri Light" w:hAnsi="Calibri Light"/>
          <w:b/>
          <w:sz w:val="22"/>
          <w:szCs w:val="22"/>
        </w:rPr>
      </w:pPr>
    </w:p>
    <w:p w:rsidR="00F52085" w:rsidRPr="000B13E2" w:rsidRDefault="00F52085" w:rsidP="00F52085">
      <w:pPr>
        <w:jc w:val="both"/>
        <w:rPr>
          <w:rFonts w:ascii="Calibri Light" w:hAnsi="Calibri Light"/>
          <w:sz w:val="22"/>
          <w:szCs w:val="22"/>
        </w:rPr>
      </w:pPr>
      <w:r w:rsidRPr="000B13E2">
        <w:rPr>
          <w:rFonts w:ascii="Calibri Light" w:hAnsi="Calibri Light"/>
          <w:sz w:val="22"/>
          <w:szCs w:val="22"/>
        </w:rPr>
        <w:t>The goal of establishing the National Institutes of Health was to enable publicly funded research initiatives to begin the process of translation as they realize their potential to provide health care solutions.  The Pharmaceutical/Biotechnology Industry has built a sustainable business model that leverages public data to begin curating proprietary assets that claim to address unmet clinical need.  The current model practiced over the past 350 years has generated over 7000 active medicines for use in patients.  However, in the past twenty years in spite of increasing investment by the Pharmaceutical/Biotech community in research and development, it has not yielded a proportional increase in identifying novel molecular entities for patients.  While there are numerous reasons for this decline, largely attributed to identifying safer and better differentiated molecules, an emerging challenge has been the inability to seed tangible drug discovery ideas from the most attractive research published in the high impact journals.  For instance at Lilly, approximately 50% of targets of interests fail to measure up in terms of tractable starting points for drug discovery.  Up to 70% of these attractive targets derived from high end journals fail to reproduce the biology in terms of their effect size or the claimed benefit in the context of the disease condition.  Furthermore, a significant proportion (45%) of the successful targets based on rodent disease models, fail to translate in humans. This has resulted in a significant loss of opportunity and resources pursuing such targets.  Root cause analysis of this reproducibility coupled with lack of relevance to human disease points to numerous systemic issues in research.  The talk will focus on potential solutions for these issues and will highlight the urgency with which we should address some of the same.</w:t>
      </w:r>
    </w:p>
    <w:p w:rsidR="001275E8" w:rsidRPr="001275E8" w:rsidRDefault="001275E8" w:rsidP="005F6E1E">
      <w:pPr>
        <w:autoSpaceDE w:val="0"/>
        <w:autoSpaceDN w:val="0"/>
        <w:adjustRightInd w:val="0"/>
        <w:rPr>
          <w:rFonts w:asciiTheme="majorHAnsi" w:hAnsiTheme="majorHAnsi"/>
          <w:color w:val="FF0000"/>
          <w:sz w:val="22"/>
          <w:szCs w:val="22"/>
        </w:rPr>
      </w:pPr>
    </w:p>
    <w:p w:rsidR="001275E8" w:rsidRDefault="001275E8" w:rsidP="005F6E1E">
      <w:pPr>
        <w:autoSpaceDE w:val="0"/>
        <w:autoSpaceDN w:val="0"/>
        <w:adjustRightInd w:val="0"/>
        <w:rPr>
          <w:rFonts w:asciiTheme="majorHAnsi" w:hAnsiTheme="majorHAnsi"/>
          <w:sz w:val="22"/>
          <w:szCs w:val="22"/>
        </w:rPr>
      </w:pPr>
    </w:p>
    <w:p w:rsidR="00CB5EE2" w:rsidRDefault="00CB5EE2">
      <w:pPr>
        <w:spacing w:after="160" w:line="259" w:lineRule="auto"/>
        <w:rPr>
          <w:rFonts w:asciiTheme="majorHAnsi" w:hAnsiTheme="majorHAnsi"/>
          <w:b/>
          <w:sz w:val="22"/>
          <w:szCs w:val="22"/>
        </w:rPr>
      </w:pPr>
      <w:r>
        <w:rPr>
          <w:rFonts w:asciiTheme="majorHAnsi" w:hAnsiTheme="majorHAnsi"/>
          <w:b/>
          <w:sz w:val="22"/>
          <w:szCs w:val="22"/>
        </w:rPr>
        <w:br w:type="page"/>
      </w:r>
    </w:p>
    <w:p w:rsidR="00370846" w:rsidRPr="00370846" w:rsidRDefault="00370846" w:rsidP="00370846">
      <w:pPr>
        <w:autoSpaceDE w:val="0"/>
        <w:autoSpaceDN w:val="0"/>
        <w:adjustRightInd w:val="0"/>
        <w:outlineLvl w:val="0"/>
        <w:rPr>
          <w:rFonts w:asciiTheme="majorHAnsi" w:hAnsiTheme="majorHAnsi"/>
          <w:b/>
          <w:sz w:val="22"/>
          <w:szCs w:val="22"/>
        </w:rPr>
      </w:pPr>
      <w:r w:rsidRPr="00370846">
        <w:rPr>
          <w:rFonts w:asciiTheme="majorHAnsi" w:hAnsiTheme="majorHAnsi"/>
          <w:b/>
          <w:sz w:val="22"/>
          <w:szCs w:val="22"/>
        </w:rPr>
        <w:t>Know Thy Cells (and Antibodies):  Improving Biomedical Research Reproducibility</w:t>
      </w:r>
    </w:p>
    <w:p w:rsidR="00370846" w:rsidRPr="00370846" w:rsidRDefault="00370846" w:rsidP="00370846">
      <w:pPr>
        <w:autoSpaceDE w:val="0"/>
        <w:autoSpaceDN w:val="0"/>
        <w:adjustRightInd w:val="0"/>
        <w:outlineLvl w:val="0"/>
        <w:rPr>
          <w:rFonts w:asciiTheme="majorHAnsi" w:hAnsiTheme="majorHAnsi"/>
          <w:i/>
          <w:sz w:val="22"/>
          <w:szCs w:val="22"/>
        </w:rPr>
      </w:pPr>
      <w:r w:rsidRPr="00370846">
        <w:rPr>
          <w:rFonts w:asciiTheme="majorHAnsi" w:hAnsiTheme="majorHAnsi"/>
          <w:i/>
          <w:sz w:val="22"/>
          <w:szCs w:val="22"/>
        </w:rPr>
        <w:t>Leonard P. Freedman</w:t>
      </w:r>
      <w:r w:rsidR="00037A1A">
        <w:rPr>
          <w:rFonts w:asciiTheme="majorHAnsi" w:hAnsiTheme="majorHAnsi"/>
          <w:i/>
          <w:sz w:val="22"/>
          <w:szCs w:val="22"/>
        </w:rPr>
        <w:t>, PhD</w:t>
      </w:r>
    </w:p>
    <w:p w:rsidR="00370846" w:rsidRPr="00370846" w:rsidRDefault="00370846" w:rsidP="00370846">
      <w:pPr>
        <w:autoSpaceDE w:val="0"/>
        <w:autoSpaceDN w:val="0"/>
        <w:adjustRightInd w:val="0"/>
        <w:outlineLvl w:val="0"/>
        <w:rPr>
          <w:rFonts w:asciiTheme="majorHAnsi" w:hAnsiTheme="majorHAnsi"/>
          <w:i/>
          <w:sz w:val="22"/>
          <w:szCs w:val="22"/>
        </w:rPr>
      </w:pPr>
      <w:r w:rsidRPr="00370846">
        <w:rPr>
          <w:rFonts w:asciiTheme="majorHAnsi" w:hAnsiTheme="majorHAnsi"/>
          <w:i/>
          <w:sz w:val="22"/>
          <w:szCs w:val="22"/>
        </w:rPr>
        <w:t>Global Biological Standards Institute, Washington, DC</w:t>
      </w:r>
    </w:p>
    <w:p w:rsidR="00370846" w:rsidRPr="00370846" w:rsidRDefault="00370846" w:rsidP="00370846">
      <w:pPr>
        <w:autoSpaceDE w:val="0"/>
        <w:autoSpaceDN w:val="0"/>
        <w:adjustRightInd w:val="0"/>
        <w:rPr>
          <w:rFonts w:asciiTheme="majorHAnsi" w:hAnsiTheme="majorHAnsi"/>
          <w:sz w:val="22"/>
          <w:szCs w:val="22"/>
        </w:rPr>
      </w:pPr>
    </w:p>
    <w:p w:rsidR="00370846" w:rsidRPr="00370846" w:rsidRDefault="00370846" w:rsidP="00370846">
      <w:pPr>
        <w:autoSpaceDE w:val="0"/>
        <w:autoSpaceDN w:val="0"/>
        <w:adjustRightInd w:val="0"/>
        <w:rPr>
          <w:rFonts w:asciiTheme="majorHAnsi" w:hAnsiTheme="majorHAnsi"/>
          <w:sz w:val="22"/>
          <w:szCs w:val="22"/>
        </w:rPr>
      </w:pPr>
      <w:r w:rsidRPr="00370846">
        <w:rPr>
          <w:rFonts w:asciiTheme="majorHAnsi" w:hAnsiTheme="majorHAnsi"/>
          <w:sz w:val="22"/>
          <w:szCs w:val="22"/>
        </w:rPr>
        <w:t xml:space="preserve">Irreproducible basic biological and preclinical research is a tremendously expensive and global problem. The inability to reproduce experimental data in preclinical studies has resulted in the invalidation of research breakthroughs, retraction of published papers, abrupt discontinuation of clinical studies, and reduced trust in the research and development enterprise. More importantly, valuable time and critical resources are wasted by irreproducibility as opportunities to enhance global health are delayed or simply lost. Although the causes of irreproducible preclinical research are complex, they can be traced to cumulative errors/flaws in one or more of the following areas: 1) study design, (2) biological reagents and reference materials, (3) laboratory protocols, and (4) data analysis and reporting. These sources of irreproducibility are often magnified by the explosion of high-throughput technologies, genomics, and other data-intensive disciplines. This presentation will use examples of biological materials and reagents, specifically cell lines and antibodies, on the impact of irreproducibility in basic/preclinical research and development, and how the implementation of consensus-based standards to authenticate and certify these reagents will lead to both increased rates of reproducibility and dramatic returns on research funding investments. </w:t>
      </w:r>
    </w:p>
    <w:p w:rsidR="00370846" w:rsidRDefault="00370846" w:rsidP="00370846"/>
    <w:p w:rsidR="00370846" w:rsidRDefault="00370846" w:rsidP="005F6E1E">
      <w:pPr>
        <w:autoSpaceDE w:val="0"/>
        <w:autoSpaceDN w:val="0"/>
        <w:adjustRightInd w:val="0"/>
        <w:rPr>
          <w:rFonts w:asciiTheme="majorHAnsi" w:hAnsiTheme="majorHAnsi"/>
          <w:sz w:val="22"/>
          <w:szCs w:val="22"/>
        </w:rPr>
      </w:pPr>
    </w:p>
    <w:p w:rsidR="00CB5EE2" w:rsidRDefault="00CB5EE2">
      <w:pPr>
        <w:spacing w:after="160" w:line="259" w:lineRule="auto"/>
        <w:rPr>
          <w:rFonts w:asciiTheme="majorHAnsi" w:hAnsiTheme="majorHAnsi"/>
          <w:b/>
          <w:color w:val="000000"/>
          <w:sz w:val="22"/>
          <w:szCs w:val="22"/>
        </w:rPr>
      </w:pPr>
      <w:r>
        <w:rPr>
          <w:rFonts w:asciiTheme="majorHAnsi" w:hAnsiTheme="majorHAnsi"/>
          <w:b/>
          <w:color w:val="000000"/>
          <w:sz w:val="22"/>
          <w:szCs w:val="22"/>
        </w:rPr>
        <w:br w:type="page"/>
      </w:r>
    </w:p>
    <w:p w:rsidR="00F52085" w:rsidRPr="00547B57" w:rsidRDefault="00F52085" w:rsidP="00F52085">
      <w:pPr>
        <w:rPr>
          <w:rFonts w:asciiTheme="majorHAnsi" w:hAnsiTheme="majorHAnsi"/>
          <w:b/>
          <w:color w:val="000000"/>
          <w:sz w:val="22"/>
          <w:szCs w:val="22"/>
        </w:rPr>
      </w:pPr>
      <w:r w:rsidRPr="00547B57">
        <w:rPr>
          <w:rFonts w:asciiTheme="majorHAnsi" w:hAnsiTheme="majorHAnsi"/>
          <w:b/>
          <w:color w:val="000000"/>
          <w:sz w:val="22"/>
          <w:szCs w:val="22"/>
        </w:rPr>
        <w:t>Improving the Reproducibility of Research Findings Using Mouse Models</w:t>
      </w:r>
    </w:p>
    <w:p w:rsidR="00F52085" w:rsidRPr="00547B57" w:rsidRDefault="00F52085" w:rsidP="00F52085">
      <w:pPr>
        <w:rPr>
          <w:rFonts w:asciiTheme="majorHAnsi" w:hAnsiTheme="majorHAnsi"/>
          <w:i/>
          <w:color w:val="000000"/>
          <w:sz w:val="22"/>
          <w:szCs w:val="22"/>
        </w:rPr>
      </w:pPr>
      <w:r w:rsidRPr="00547B57">
        <w:rPr>
          <w:rFonts w:asciiTheme="majorHAnsi" w:hAnsiTheme="majorHAnsi"/>
          <w:i/>
          <w:color w:val="000000"/>
          <w:sz w:val="22"/>
          <w:szCs w:val="22"/>
        </w:rPr>
        <w:t>Bart Williams, PhD</w:t>
      </w:r>
    </w:p>
    <w:p w:rsidR="00F52085" w:rsidRPr="00547B57" w:rsidRDefault="00F52085" w:rsidP="00F52085">
      <w:pPr>
        <w:rPr>
          <w:rFonts w:asciiTheme="majorHAnsi" w:hAnsiTheme="majorHAnsi"/>
          <w:i/>
          <w:color w:val="000000"/>
          <w:sz w:val="22"/>
          <w:szCs w:val="22"/>
        </w:rPr>
      </w:pPr>
      <w:r w:rsidRPr="00547B57">
        <w:rPr>
          <w:rFonts w:asciiTheme="majorHAnsi" w:hAnsiTheme="majorHAnsi"/>
          <w:i/>
          <w:color w:val="000000"/>
          <w:sz w:val="22"/>
          <w:szCs w:val="22"/>
        </w:rPr>
        <w:t>Van Andel Research Institute, Grand Rapids, MI</w:t>
      </w:r>
    </w:p>
    <w:p w:rsidR="00F52085" w:rsidRPr="00547B57" w:rsidRDefault="00F52085" w:rsidP="00F52085">
      <w:pPr>
        <w:rPr>
          <w:rFonts w:asciiTheme="majorHAnsi" w:hAnsiTheme="majorHAnsi"/>
          <w:color w:val="000000"/>
          <w:sz w:val="22"/>
          <w:szCs w:val="22"/>
        </w:rPr>
      </w:pPr>
    </w:p>
    <w:p w:rsidR="00F52085" w:rsidRPr="00547B57" w:rsidRDefault="00F52085" w:rsidP="00F52085">
      <w:pPr>
        <w:rPr>
          <w:rFonts w:asciiTheme="majorHAnsi" w:hAnsiTheme="majorHAnsi"/>
          <w:sz w:val="22"/>
          <w:szCs w:val="22"/>
        </w:rPr>
      </w:pPr>
      <w:r w:rsidRPr="00547B57">
        <w:rPr>
          <w:rFonts w:asciiTheme="majorHAnsi" w:hAnsiTheme="majorHAnsi"/>
          <w:color w:val="000000"/>
          <w:sz w:val="22"/>
          <w:szCs w:val="22"/>
        </w:rPr>
        <w:t>Genetically engineered mouse models (GEMMs) are a mainstay of biological research and, properly utilized and interpreted, can inform the development and optimization of therapies for human disease.  The recent application of CRISPR/Cas9-mediated gene editing to the creation of GEMMs could potentially exponentially increase our ability to quickly generate mouse models even more relevant to human disease. With this in mind, it will be important to ensure accuracy in terms of reporting the results of experiments and providing access to all such GEMMs to interested investigators as soon as possible after their initial publication. Several aspects should be considered in this context. First, it will be important to report details about how such models were constructed and how the genetic alterations were validated. In addition, it is imperative that funding agencies and scientific publishers enforce NIH-mandated requirements to distribute GEMMs after publication to interested investigators as independent confirmation of experimental results is a key step towards increasing confidence in the importance of experimental advances.  Finally, as we consider how to ensure that data presented from these models is accurate and reproducible, changes in how we evaluate scientific contributions should be considered. Replication and validation of published findings are critical in providing further rationale to pursue promising therapies. However, decisions on tenure, promotion, and grant funding often discount this type of work. Dealing with these systemic challenges is likely to be necessary to enhance the reproducibility of scientific findings and maintain public confidence and support for the worthiness of scientific investment by the NIH and other funding agencies.</w:t>
      </w:r>
    </w:p>
    <w:p w:rsidR="001366CB" w:rsidRDefault="001366CB" w:rsidP="005F6E1E">
      <w:pPr>
        <w:autoSpaceDE w:val="0"/>
        <w:autoSpaceDN w:val="0"/>
        <w:adjustRightInd w:val="0"/>
        <w:rPr>
          <w:rFonts w:asciiTheme="majorHAnsi" w:hAnsiTheme="majorHAnsi"/>
          <w:color w:val="FF0000"/>
          <w:sz w:val="22"/>
          <w:szCs w:val="22"/>
        </w:rPr>
      </w:pPr>
    </w:p>
    <w:p w:rsidR="001366CB" w:rsidRDefault="001366CB" w:rsidP="005F6E1E">
      <w:pPr>
        <w:autoSpaceDE w:val="0"/>
        <w:autoSpaceDN w:val="0"/>
        <w:adjustRightInd w:val="0"/>
        <w:rPr>
          <w:rFonts w:asciiTheme="majorHAnsi" w:hAnsiTheme="majorHAnsi"/>
          <w:color w:val="FF0000"/>
          <w:sz w:val="22"/>
          <w:szCs w:val="22"/>
        </w:rPr>
      </w:pPr>
    </w:p>
    <w:p w:rsidR="001366CB" w:rsidRDefault="001366CB" w:rsidP="001366CB">
      <w:pPr>
        <w:pStyle w:val="Default"/>
      </w:pPr>
    </w:p>
    <w:p w:rsidR="00997B2F" w:rsidRPr="00BE0834" w:rsidRDefault="00997B2F" w:rsidP="00BE0834">
      <w:pPr>
        <w:spacing w:after="160" w:line="259" w:lineRule="auto"/>
        <w:rPr>
          <w:rFonts w:asciiTheme="majorHAnsi" w:eastAsiaTheme="minorHAnsi" w:hAnsiTheme="majorHAnsi"/>
          <w:b/>
          <w:color w:val="000000"/>
          <w:sz w:val="22"/>
          <w:szCs w:val="22"/>
          <w:lang w:eastAsia="en-US"/>
        </w:rPr>
      </w:pPr>
    </w:p>
    <w:sectPr w:rsidR="00997B2F" w:rsidRPr="00BE0834" w:rsidSect="00CB5EE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DA2" w:rsidRDefault="00B15DA2" w:rsidP="00274DCF">
      <w:r>
        <w:separator/>
      </w:r>
    </w:p>
  </w:endnote>
  <w:endnote w:type="continuationSeparator" w:id="0">
    <w:p w:rsidR="00B15DA2" w:rsidRDefault="00B15DA2" w:rsidP="00274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83" w:usb1="08070000" w:usb2="00000010" w:usb3="00000000" w:csb0="00020009" w:csb1="00000000"/>
  </w:font>
  <w:font w:name="Arial-ItalicMT">
    <w:panose1 w:val="00000000000000000000"/>
    <w:charset w:val="00"/>
    <w:family w:val="swiss"/>
    <w:notTrueType/>
    <w:pitch w:val="default"/>
    <w:sig w:usb0="00000003" w:usb1="00000000" w:usb2="00000000" w:usb3="00000000" w:csb0="00000001" w:csb1="00000000"/>
  </w:font>
  <w:font w:name="Microsoft-Yi-Bait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DA2" w:rsidRDefault="00B15DA2" w:rsidP="00274DCF">
      <w:r>
        <w:separator/>
      </w:r>
    </w:p>
  </w:footnote>
  <w:footnote w:type="continuationSeparator" w:id="0">
    <w:p w:rsidR="00B15DA2" w:rsidRDefault="00B15DA2" w:rsidP="00274D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167DF"/>
    <w:multiLevelType w:val="hybridMultilevel"/>
    <w:tmpl w:val="6C4C1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2625D6"/>
    <w:multiLevelType w:val="hybridMultilevel"/>
    <w:tmpl w:val="143E049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2EE"/>
    <w:rsid w:val="00003619"/>
    <w:rsid w:val="00020765"/>
    <w:rsid w:val="000268CC"/>
    <w:rsid w:val="0003259B"/>
    <w:rsid w:val="00036049"/>
    <w:rsid w:val="00037A1A"/>
    <w:rsid w:val="00042075"/>
    <w:rsid w:val="000507A7"/>
    <w:rsid w:val="000522EE"/>
    <w:rsid w:val="00054D64"/>
    <w:rsid w:val="0008719B"/>
    <w:rsid w:val="00090F89"/>
    <w:rsid w:val="00096A60"/>
    <w:rsid w:val="000B0806"/>
    <w:rsid w:val="000B19E3"/>
    <w:rsid w:val="000C6F83"/>
    <w:rsid w:val="000D064E"/>
    <w:rsid w:val="000F22CE"/>
    <w:rsid w:val="0012425B"/>
    <w:rsid w:val="001275E8"/>
    <w:rsid w:val="001366CB"/>
    <w:rsid w:val="001401CC"/>
    <w:rsid w:val="00143165"/>
    <w:rsid w:val="00152630"/>
    <w:rsid w:val="001750CD"/>
    <w:rsid w:val="00177DFB"/>
    <w:rsid w:val="001B128E"/>
    <w:rsid w:val="001B5FB8"/>
    <w:rsid w:val="001C5321"/>
    <w:rsid w:val="001C7A85"/>
    <w:rsid w:val="001D4199"/>
    <w:rsid w:val="001D424E"/>
    <w:rsid w:val="001D648A"/>
    <w:rsid w:val="001E7364"/>
    <w:rsid w:val="002009E9"/>
    <w:rsid w:val="00204899"/>
    <w:rsid w:val="002070C7"/>
    <w:rsid w:val="002078BB"/>
    <w:rsid w:val="00214639"/>
    <w:rsid w:val="00214D66"/>
    <w:rsid w:val="00216EEC"/>
    <w:rsid w:val="002474EF"/>
    <w:rsid w:val="00252D54"/>
    <w:rsid w:val="00274DCF"/>
    <w:rsid w:val="002822C7"/>
    <w:rsid w:val="002823BB"/>
    <w:rsid w:val="00290CE1"/>
    <w:rsid w:val="002974B1"/>
    <w:rsid w:val="002A0EC7"/>
    <w:rsid w:val="002A32B4"/>
    <w:rsid w:val="002B2CEF"/>
    <w:rsid w:val="002B4D4D"/>
    <w:rsid w:val="002C4546"/>
    <w:rsid w:val="002C4A3C"/>
    <w:rsid w:val="002D37EA"/>
    <w:rsid w:val="002D60B2"/>
    <w:rsid w:val="002E67B0"/>
    <w:rsid w:val="00301B12"/>
    <w:rsid w:val="00305CB5"/>
    <w:rsid w:val="00311B3B"/>
    <w:rsid w:val="00331405"/>
    <w:rsid w:val="00333FE5"/>
    <w:rsid w:val="00335A01"/>
    <w:rsid w:val="00335D6F"/>
    <w:rsid w:val="00341B65"/>
    <w:rsid w:val="00346D61"/>
    <w:rsid w:val="003645B3"/>
    <w:rsid w:val="00366526"/>
    <w:rsid w:val="003675CF"/>
    <w:rsid w:val="00370846"/>
    <w:rsid w:val="003926F0"/>
    <w:rsid w:val="003964A6"/>
    <w:rsid w:val="003A1028"/>
    <w:rsid w:val="003A6115"/>
    <w:rsid w:val="003C4B0E"/>
    <w:rsid w:val="003C7343"/>
    <w:rsid w:val="003D1732"/>
    <w:rsid w:val="003E7B52"/>
    <w:rsid w:val="003F3D38"/>
    <w:rsid w:val="003F3F90"/>
    <w:rsid w:val="00401F6C"/>
    <w:rsid w:val="00403069"/>
    <w:rsid w:val="00403FC7"/>
    <w:rsid w:val="00411BCE"/>
    <w:rsid w:val="00420BE6"/>
    <w:rsid w:val="00425947"/>
    <w:rsid w:val="00443244"/>
    <w:rsid w:val="00444446"/>
    <w:rsid w:val="00450F97"/>
    <w:rsid w:val="004514B3"/>
    <w:rsid w:val="0047233A"/>
    <w:rsid w:val="0048415A"/>
    <w:rsid w:val="004A2673"/>
    <w:rsid w:val="004A436B"/>
    <w:rsid w:val="004B2DD4"/>
    <w:rsid w:val="004B2E1E"/>
    <w:rsid w:val="004B7355"/>
    <w:rsid w:val="004C219D"/>
    <w:rsid w:val="004C6196"/>
    <w:rsid w:val="004E5A0C"/>
    <w:rsid w:val="004F2C54"/>
    <w:rsid w:val="004F54A9"/>
    <w:rsid w:val="00516CA7"/>
    <w:rsid w:val="00517BC6"/>
    <w:rsid w:val="005233FD"/>
    <w:rsid w:val="00547B57"/>
    <w:rsid w:val="00550460"/>
    <w:rsid w:val="00550E61"/>
    <w:rsid w:val="00552BA7"/>
    <w:rsid w:val="00557D88"/>
    <w:rsid w:val="00563E12"/>
    <w:rsid w:val="005749BF"/>
    <w:rsid w:val="005775FE"/>
    <w:rsid w:val="00581893"/>
    <w:rsid w:val="00584B67"/>
    <w:rsid w:val="00593432"/>
    <w:rsid w:val="00593BEE"/>
    <w:rsid w:val="00593C3E"/>
    <w:rsid w:val="00595E57"/>
    <w:rsid w:val="005A0625"/>
    <w:rsid w:val="005A549F"/>
    <w:rsid w:val="005B50E1"/>
    <w:rsid w:val="005B731B"/>
    <w:rsid w:val="005D7D69"/>
    <w:rsid w:val="005D7D94"/>
    <w:rsid w:val="005E6CB3"/>
    <w:rsid w:val="005F2453"/>
    <w:rsid w:val="005F6E1E"/>
    <w:rsid w:val="00601734"/>
    <w:rsid w:val="00612C73"/>
    <w:rsid w:val="00625976"/>
    <w:rsid w:val="0064110D"/>
    <w:rsid w:val="00641968"/>
    <w:rsid w:val="00647823"/>
    <w:rsid w:val="0066152D"/>
    <w:rsid w:val="00670BBE"/>
    <w:rsid w:val="00673199"/>
    <w:rsid w:val="00682931"/>
    <w:rsid w:val="006834D2"/>
    <w:rsid w:val="006925D0"/>
    <w:rsid w:val="006929F2"/>
    <w:rsid w:val="00696C95"/>
    <w:rsid w:val="006B4DFE"/>
    <w:rsid w:val="006D27F0"/>
    <w:rsid w:val="006D28A3"/>
    <w:rsid w:val="006D76D4"/>
    <w:rsid w:val="006F2D27"/>
    <w:rsid w:val="006F4016"/>
    <w:rsid w:val="007049E7"/>
    <w:rsid w:val="00711BA2"/>
    <w:rsid w:val="00714062"/>
    <w:rsid w:val="00722329"/>
    <w:rsid w:val="00725C86"/>
    <w:rsid w:val="00733AB1"/>
    <w:rsid w:val="007454F4"/>
    <w:rsid w:val="0075359B"/>
    <w:rsid w:val="00757679"/>
    <w:rsid w:val="00760AF6"/>
    <w:rsid w:val="00780BC2"/>
    <w:rsid w:val="007856BA"/>
    <w:rsid w:val="0078734B"/>
    <w:rsid w:val="00793DEB"/>
    <w:rsid w:val="00794B77"/>
    <w:rsid w:val="007B3757"/>
    <w:rsid w:val="007B5849"/>
    <w:rsid w:val="007C4E79"/>
    <w:rsid w:val="007C51A7"/>
    <w:rsid w:val="007D31BF"/>
    <w:rsid w:val="007F0712"/>
    <w:rsid w:val="007F3834"/>
    <w:rsid w:val="007F3C86"/>
    <w:rsid w:val="008030CD"/>
    <w:rsid w:val="008127EF"/>
    <w:rsid w:val="00813AAA"/>
    <w:rsid w:val="00814403"/>
    <w:rsid w:val="00816AB2"/>
    <w:rsid w:val="00820429"/>
    <w:rsid w:val="00840487"/>
    <w:rsid w:val="008458F7"/>
    <w:rsid w:val="00852855"/>
    <w:rsid w:val="00854499"/>
    <w:rsid w:val="00870C3B"/>
    <w:rsid w:val="00871C1E"/>
    <w:rsid w:val="008820FB"/>
    <w:rsid w:val="00884D34"/>
    <w:rsid w:val="008A6ED6"/>
    <w:rsid w:val="008A74BE"/>
    <w:rsid w:val="008A7D92"/>
    <w:rsid w:val="008B4C0E"/>
    <w:rsid w:val="008B7A6F"/>
    <w:rsid w:val="008C20C9"/>
    <w:rsid w:val="008D4029"/>
    <w:rsid w:val="008D6263"/>
    <w:rsid w:val="008E0FFA"/>
    <w:rsid w:val="008F404F"/>
    <w:rsid w:val="009010B1"/>
    <w:rsid w:val="00904A6C"/>
    <w:rsid w:val="00912032"/>
    <w:rsid w:val="00912600"/>
    <w:rsid w:val="0093234F"/>
    <w:rsid w:val="00932F1E"/>
    <w:rsid w:val="00952E7E"/>
    <w:rsid w:val="00956A7A"/>
    <w:rsid w:val="00963F0C"/>
    <w:rsid w:val="00971134"/>
    <w:rsid w:val="00972ACA"/>
    <w:rsid w:val="00977697"/>
    <w:rsid w:val="00985F17"/>
    <w:rsid w:val="00991D2C"/>
    <w:rsid w:val="00995D35"/>
    <w:rsid w:val="00997B2F"/>
    <w:rsid w:val="009A77E6"/>
    <w:rsid w:val="009B4721"/>
    <w:rsid w:val="009C0DFE"/>
    <w:rsid w:val="009C1D86"/>
    <w:rsid w:val="009C2686"/>
    <w:rsid w:val="009C57A5"/>
    <w:rsid w:val="009C5E67"/>
    <w:rsid w:val="009D2EF1"/>
    <w:rsid w:val="009D3D1C"/>
    <w:rsid w:val="009D41C3"/>
    <w:rsid w:val="009D5370"/>
    <w:rsid w:val="009E583F"/>
    <w:rsid w:val="009E5AA9"/>
    <w:rsid w:val="009E70A3"/>
    <w:rsid w:val="00A00A1C"/>
    <w:rsid w:val="00A26F95"/>
    <w:rsid w:val="00A36F12"/>
    <w:rsid w:val="00A432B0"/>
    <w:rsid w:val="00A4597E"/>
    <w:rsid w:val="00A5628E"/>
    <w:rsid w:val="00A72D1C"/>
    <w:rsid w:val="00A75A94"/>
    <w:rsid w:val="00A8125A"/>
    <w:rsid w:val="00A86D55"/>
    <w:rsid w:val="00A9028E"/>
    <w:rsid w:val="00A96D8E"/>
    <w:rsid w:val="00AA38D3"/>
    <w:rsid w:val="00AA728D"/>
    <w:rsid w:val="00AB1167"/>
    <w:rsid w:val="00AF500C"/>
    <w:rsid w:val="00AF5316"/>
    <w:rsid w:val="00B001F9"/>
    <w:rsid w:val="00B00A01"/>
    <w:rsid w:val="00B05EE4"/>
    <w:rsid w:val="00B10CEF"/>
    <w:rsid w:val="00B14CCD"/>
    <w:rsid w:val="00B15DA2"/>
    <w:rsid w:val="00B210D3"/>
    <w:rsid w:val="00B21879"/>
    <w:rsid w:val="00B23385"/>
    <w:rsid w:val="00B278EE"/>
    <w:rsid w:val="00B367B6"/>
    <w:rsid w:val="00B41019"/>
    <w:rsid w:val="00B418FF"/>
    <w:rsid w:val="00B65F35"/>
    <w:rsid w:val="00B66D4C"/>
    <w:rsid w:val="00B75F4C"/>
    <w:rsid w:val="00B76AB4"/>
    <w:rsid w:val="00B850DF"/>
    <w:rsid w:val="00B9272F"/>
    <w:rsid w:val="00BB54B2"/>
    <w:rsid w:val="00BC3CD6"/>
    <w:rsid w:val="00BC3FD7"/>
    <w:rsid w:val="00BD131F"/>
    <w:rsid w:val="00BE0834"/>
    <w:rsid w:val="00BF29A6"/>
    <w:rsid w:val="00C00AF1"/>
    <w:rsid w:val="00C03FD1"/>
    <w:rsid w:val="00C11439"/>
    <w:rsid w:val="00C1744E"/>
    <w:rsid w:val="00C25515"/>
    <w:rsid w:val="00C26D4F"/>
    <w:rsid w:val="00C31FCE"/>
    <w:rsid w:val="00C32C32"/>
    <w:rsid w:val="00C33D60"/>
    <w:rsid w:val="00C55BB2"/>
    <w:rsid w:val="00C6258E"/>
    <w:rsid w:val="00C63FA4"/>
    <w:rsid w:val="00C6524C"/>
    <w:rsid w:val="00C715C5"/>
    <w:rsid w:val="00C8237B"/>
    <w:rsid w:val="00C869FD"/>
    <w:rsid w:val="00CA7B54"/>
    <w:rsid w:val="00CB40B8"/>
    <w:rsid w:val="00CB5EE2"/>
    <w:rsid w:val="00CB7624"/>
    <w:rsid w:val="00CC47C9"/>
    <w:rsid w:val="00CD0637"/>
    <w:rsid w:val="00CE115F"/>
    <w:rsid w:val="00CE3D4C"/>
    <w:rsid w:val="00CE404F"/>
    <w:rsid w:val="00D03090"/>
    <w:rsid w:val="00D07EE0"/>
    <w:rsid w:val="00D108BD"/>
    <w:rsid w:val="00D204EC"/>
    <w:rsid w:val="00D261EE"/>
    <w:rsid w:val="00D32D9D"/>
    <w:rsid w:val="00D53775"/>
    <w:rsid w:val="00D56589"/>
    <w:rsid w:val="00D62067"/>
    <w:rsid w:val="00D76B4D"/>
    <w:rsid w:val="00D77558"/>
    <w:rsid w:val="00D776DD"/>
    <w:rsid w:val="00D84845"/>
    <w:rsid w:val="00D90BBB"/>
    <w:rsid w:val="00D90CBA"/>
    <w:rsid w:val="00D9115F"/>
    <w:rsid w:val="00D94CD3"/>
    <w:rsid w:val="00DA13BC"/>
    <w:rsid w:val="00DA5A7B"/>
    <w:rsid w:val="00DB2830"/>
    <w:rsid w:val="00DB3DE5"/>
    <w:rsid w:val="00DB49C3"/>
    <w:rsid w:val="00DB65DE"/>
    <w:rsid w:val="00DE2DD1"/>
    <w:rsid w:val="00DE6108"/>
    <w:rsid w:val="00DF4FBB"/>
    <w:rsid w:val="00DF57CA"/>
    <w:rsid w:val="00E1501B"/>
    <w:rsid w:val="00E3079A"/>
    <w:rsid w:val="00E315A8"/>
    <w:rsid w:val="00E40E54"/>
    <w:rsid w:val="00E5177A"/>
    <w:rsid w:val="00E64F62"/>
    <w:rsid w:val="00E651E3"/>
    <w:rsid w:val="00E65608"/>
    <w:rsid w:val="00E81623"/>
    <w:rsid w:val="00E826C1"/>
    <w:rsid w:val="00E86C57"/>
    <w:rsid w:val="00E928D7"/>
    <w:rsid w:val="00E93609"/>
    <w:rsid w:val="00EA0A9C"/>
    <w:rsid w:val="00EA3855"/>
    <w:rsid w:val="00EA4BE5"/>
    <w:rsid w:val="00EA4E37"/>
    <w:rsid w:val="00EA51C0"/>
    <w:rsid w:val="00EB0CED"/>
    <w:rsid w:val="00EC00CA"/>
    <w:rsid w:val="00EE4F44"/>
    <w:rsid w:val="00EF02E4"/>
    <w:rsid w:val="00EF5859"/>
    <w:rsid w:val="00EF7A5E"/>
    <w:rsid w:val="00F00C35"/>
    <w:rsid w:val="00F106B0"/>
    <w:rsid w:val="00F12383"/>
    <w:rsid w:val="00F210C9"/>
    <w:rsid w:val="00F22D53"/>
    <w:rsid w:val="00F25008"/>
    <w:rsid w:val="00F36960"/>
    <w:rsid w:val="00F52085"/>
    <w:rsid w:val="00F5320F"/>
    <w:rsid w:val="00F560E5"/>
    <w:rsid w:val="00F57229"/>
    <w:rsid w:val="00F576CE"/>
    <w:rsid w:val="00F62C9E"/>
    <w:rsid w:val="00F66E77"/>
    <w:rsid w:val="00F73536"/>
    <w:rsid w:val="00F801C7"/>
    <w:rsid w:val="00F81498"/>
    <w:rsid w:val="00F85485"/>
    <w:rsid w:val="00F8607C"/>
    <w:rsid w:val="00F8618B"/>
    <w:rsid w:val="00F94934"/>
    <w:rsid w:val="00F94E65"/>
    <w:rsid w:val="00FA47E4"/>
    <w:rsid w:val="00FC030D"/>
    <w:rsid w:val="00FC7AF4"/>
    <w:rsid w:val="00FD3C02"/>
    <w:rsid w:val="00FE4849"/>
    <w:rsid w:val="00FE4B60"/>
    <w:rsid w:val="00FF6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F4E2E4-45BD-4467-8EB9-ADAD211D6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AB4"/>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DCF"/>
    <w:pPr>
      <w:tabs>
        <w:tab w:val="center" w:pos="4680"/>
        <w:tab w:val="right" w:pos="9360"/>
      </w:tabs>
    </w:pPr>
  </w:style>
  <w:style w:type="character" w:customStyle="1" w:styleId="HeaderChar">
    <w:name w:val="Header Char"/>
    <w:basedOn w:val="DefaultParagraphFont"/>
    <w:link w:val="Header"/>
    <w:uiPriority w:val="99"/>
    <w:rsid w:val="00274DCF"/>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274DCF"/>
    <w:pPr>
      <w:tabs>
        <w:tab w:val="center" w:pos="4680"/>
        <w:tab w:val="right" w:pos="9360"/>
      </w:tabs>
    </w:pPr>
  </w:style>
  <w:style w:type="character" w:customStyle="1" w:styleId="FooterChar">
    <w:name w:val="Footer Char"/>
    <w:basedOn w:val="DefaultParagraphFont"/>
    <w:link w:val="Footer"/>
    <w:uiPriority w:val="99"/>
    <w:rsid w:val="00274DCF"/>
    <w:rPr>
      <w:rFonts w:ascii="Times New Roman" w:eastAsia="MS Mincho" w:hAnsi="Times New Roman" w:cs="Times New Roman"/>
      <w:sz w:val="24"/>
      <w:szCs w:val="24"/>
      <w:lang w:eastAsia="ja-JP"/>
    </w:rPr>
  </w:style>
  <w:style w:type="paragraph" w:customStyle="1" w:styleId="Default">
    <w:name w:val="Default"/>
    <w:rsid w:val="001366C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07EE0"/>
    <w:pPr>
      <w:ind w:left="720"/>
      <w:contextualSpacing/>
    </w:pPr>
  </w:style>
  <w:style w:type="character" w:styleId="Hyperlink">
    <w:name w:val="Hyperlink"/>
    <w:basedOn w:val="DefaultParagraphFont"/>
    <w:uiPriority w:val="99"/>
    <w:unhideWhenUsed/>
    <w:rsid w:val="00403FC7"/>
    <w:rPr>
      <w:color w:val="0563C1" w:themeColor="hyperlink"/>
      <w:u w:val="single"/>
    </w:rPr>
  </w:style>
  <w:style w:type="paragraph" w:styleId="BodyText3">
    <w:name w:val="Body Text 3"/>
    <w:basedOn w:val="Normal"/>
    <w:link w:val="BodyText3Char"/>
    <w:rsid w:val="00CD0637"/>
    <w:pPr>
      <w:spacing w:line="480" w:lineRule="auto"/>
      <w:ind w:firstLine="720"/>
      <w:jc w:val="both"/>
    </w:pPr>
    <w:rPr>
      <w:rFonts w:eastAsia="Times New Roman"/>
      <w:b/>
      <w:bCs/>
      <w:lang w:val="en-GB" w:eastAsia="en-US"/>
    </w:rPr>
  </w:style>
  <w:style w:type="character" w:customStyle="1" w:styleId="BodyText3Char">
    <w:name w:val="Body Text 3 Char"/>
    <w:basedOn w:val="DefaultParagraphFont"/>
    <w:link w:val="BodyText3"/>
    <w:rsid w:val="00CD0637"/>
    <w:rPr>
      <w:rFonts w:ascii="Times New Roman" w:eastAsia="Times New Roman" w:hAnsi="Times New Roman" w:cs="Times New Roman"/>
      <w:b/>
      <w:bCs/>
      <w:sz w:val="24"/>
      <w:szCs w:val="24"/>
      <w:lang w:val="en-GB"/>
    </w:rPr>
  </w:style>
  <w:style w:type="paragraph" w:customStyle="1" w:styleId="EndNoteBibliography">
    <w:name w:val="EndNote Bibliography"/>
    <w:basedOn w:val="Normal"/>
    <w:link w:val="EndNoteBibliographyChar"/>
    <w:rsid w:val="00CD0637"/>
    <w:pPr>
      <w:ind w:firstLine="720"/>
      <w:jc w:val="both"/>
    </w:pPr>
    <w:rPr>
      <w:rFonts w:eastAsia="Times New Roman"/>
      <w:noProof/>
      <w:lang w:eastAsia="en-US"/>
    </w:rPr>
  </w:style>
  <w:style w:type="character" w:customStyle="1" w:styleId="EndNoteBibliographyChar">
    <w:name w:val="EndNote Bibliography Char"/>
    <w:link w:val="EndNoteBibliography"/>
    <w:rsid w:val="00CD0637"/>
    <w:rPr>
      <w:rFonts w:ascii="Times New Roman" w:eastAsia="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535273">
      <w:bodyDiv w:val="1"/>
      <w:marLeft w:val="0"/>
      <w:marRight w:val="0"/>
      <w:marTop w:val="0"/>
      <w:marBottom w:val="0"/>
      <w:divBdr>
        <w:top w:val="none" w:sz="0" w:space="0" w:color="auto"/>
        <w:left w:val="none" w:sz="0" w:space="0" w:color="auto"/>
        <w:bottom w:val="none" w:sz="0" w:space="0" w:color="auto"/>
        <w:right w:val="none" w:sz="0" w:space="0" w:color="auto"/>
      </w:divBdr>
    </w:div>
    <w:div w:id="89596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41FC7-7999-4BD0-83D3-3661257FB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5102</Words>
  <Characters>29088</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Zuleg</dc:creator>
  <cp:keywords/>
  <dc:description/>
  <cp:lastModifiedBy>Trotter, Jennifer</cp:lastModifiedBy>
  <cp:revision>2</cp:revision>
  <cp:lastPrinted>2016-07-26T19:48:00Z</cp:lastPrinted>
  <dcterms:created xsi:type="dcterms:W3CDTF">2017-02-07T18:25:00Z</dcterms:created>
  <dcterms:modified xsi:type="dcterms:W3CDTF">2017-02-07T18:25:00Z</dcterms:modified>
</cp:coreProperties>
</file>