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CEE" w:rsidRPr="005739E0" w:rsidRDefault="002137AD" w:rsidP="00B5541D">
      <w:pPr>
        <w:pStyle w:val="Default"/>
        <w:rPr>
          <w:rFonts w:ascii="Georgia" w:hAnsi="Georgia" w:cs="Arial"/>
        </w:rPr>
      </w:pPr>
      <w:bookmarkStart w:id="0" w:name="_GoBack"/>
      <w:bookmarkEnd w:id="0"/>
      <w:r w:rsidRPr="005739E0">
        <w:rPr>
          <w:rFonts w:ascii="Georgia" w:hAnsi="Georgia" w:cs="Arial"/>
        </w:rPr>
        <w:t xml:space="preserve">The Bone Health Promotion and Research Act (S </w:t>
      </w:r>
      <w:r w:rsidR="00994BB1">
        <w:rPr>
          <w:rFonts w:ascii="Georgia" w:hAnsi="Georgia" w:cs="Arial"/>
        </w:rPr>
        <w:t>966</w:t>
      </w:r>
      <w:r w:rsidRPr="005739E0">
        <w:rPr>
          <w:rFonts w:ascii="Georgia" w:hAnsi="Georgia" w:cs="Arial"/>
        </w:rPr>
        <w:t>) was introduced in the U.S. Senate on May 12, 2011 by Senator Kirsten Gillibrand.</w:t>
      </w:r>
    </w:p>
    <w:p w:rsidR="00F90CEE" w:rsidRPr="005739E0" w:rsidRDefault="00F90CEE" w:rsidP="00B5541D">
      <w:pPr>
        <w:pStyle w:val="Default"/>
        <w:rPr>
          <w:rFonts w:ascii="Georgia" w:hAnsi="Georgia" w:cs="Arial"/>
        </w:rPr>
      </w:pPr>
    </w:p>
    <w:p w:rsidR="005739E0" w:rsidRDefault="002137AD" w:rsidP="00B5541D">
      <w:pPr>
        <w:pStyle w:val="Default"/>
        <w:rPr>
          <w:rFonts w:ascii="Georgia" w:hAnsi="Georgia" w:cs="Arial"/>
        </w:rPr>
      </w:pPr>
      <w:r w:rsidRPr="005739E0">
        <w:rPr>
          <w:rFonts w:ascii="Georgia" w:hAnsi="Georgia" w:cs="Arial"/>
        </w:rPr>
        <w:t xml:space="preserve">The bill would </w:t>
      </w:r>
      <w:r w:rsidR="00836463" w:rsidRPr="005739E0">
        <w:rPr>
          <w:rFonts w:ascii="Georgia" w:hAnsi="Georgia" w:cs="Arial"/>
        </w:rPr>
        <w:t>authorize</w:t>
      </w:r>
      <w:r w:rsidRPr="005739E0">
        <w:rPr>
          <w:rFonts w:ascii="Georgia" w:hAnsi="Georgia" w:cs="Arial"/>
        </w:rPr>
        <w:t xml:space="preserve"> $22 million annually to establish a National Bone Health Program to provide competitive grant funding for research, education, demonstration projects, prevention and control efforts, surveillance, training, and other activities to lessen the effects of osteoporosis and other bone diseases.</w:t>
      </w:r>
      <w:r w:rsidR="00836463" w:rsidRPr="005739E0">
        <w:rPr>
          <w:rFonts w:ascii="Georgia" w:hAnsi="Georgia" w:cs="Arial"/>
        </w:rPr>
        <w:t xml:space="preserve"> </w:t>
      </w:r>
    </w:p>
    <w:p w:rsidR="005739E0" w:rsidRDefault="005739E0" w:rsidP="00B5541D">
      <w:pPr>
        <w:pStyle w:val="Default"/>
        <w:rPr>
          <w:rFonts w:ascii="Georgia" w:hAnsi="Georgia" w:cs="Arial"/>
        </w:rPr>
      </w:pPr>
    </w:p>
    <w:p w:rsidR="005739E0" w:rsidRDefault="00836463" w:rsidP="00B5541D">
      <w:pPr>
        <w:pStyle w:val="Default"/>
        <w:rPr>
          <w:rFonts w:ascii="Georgia" w:hAnsi="Georgia" w:cs="Arial"/>
        </w:rPr>
      </w:pPr>
      <w:r w:rsidRPr="005739E0">
        <w:rPr>
          <w:rFonts w:ascii="Georgia" w:hAnsi="Georgia" w:cs="Arial"/>
        </w:rPr>
        <w:t xml:space="preserve"> Another section of the bill authorize</w:t>
      </w:r>
      <w:r w:rsidR="004B26C0" w:rsidRPr="005739E0">
        <w:rPr>
          <w:rFonts w:ascii="Georgia" w:hAnsi="Georgia" w:cs="Arial"/>
        </w:rPr>
        <w:t>s</w:t>
      </w:r>
      <w:r w:rsidRPr="005739E0">
        <w:rPr>
          <w:rFonts w:ascii="Georgia" w:hAnsi="Georgia" w:cs="Arial"/>
        </w:rPr>
        <w:t xml:space="preserve"> $250 million per year </w:t>
      </w:r>
      <w:r w:rsidR="004B26C0" w:rsidRPr="005739E0">
        <w:rPr>
          <w:rFonts w:ascii="Georgia" w:hAnsi="Georgia" w:cs="Arial"/>
        </w:rPr>
        <w:t>for additional research</w:t>
      </w:r>
      <w:r w:rsidR="00EC6B6C" w:rsidRPr="005739E0">
        <w:rPr>
          <w:rFonts w:ascii="Georgia" w:hAnsi="Georgia" w:cs="Arial"/>
        </w:rPr>
        <w:t xml:space="preserve"> to enhance the current portfolio</w:t>
      </w:r>
      <w:r w:rsidR="004B26C0" w:rsidRPr="005739E0">
        <w:rPr>
          <w:rFonts w:ascii="Georgia" w:hAnsi="Georgia" w:cs="Arial"/>
        </w:rPr>
        <w:t xml:space="preserve"> by the </w:t>
      </w:r>
      <w:r w:rsidR="00EC6B6C" w:rsidRPr="005739E0">
        <w:rPr>
          <w:rFonts w:ascii="Georgia" w:hAnsi="Georgia" w:cs="Arial"/>
        </w:rPr>
        <w:t>National Institutes of Health.</w:t>
      </w:r>
    </w:p>
    <w:p w:rsidR="005739E0" w:rsidRDefault="005739E0" w:rsidP="00B5541D">
      <w:pPr>
        <w:pStyle w:val="Default"/>
        <w:rPr>
          <w:rFonts w:ascii="Georgia" w:hAnsi="Georgia" w:cs="Arial"/>
        </w:rPr>
      </w:pPr>
    </w:p>
    <w:p w:rsidR="005739E0" w:rsidRDefault="00B5541D" w:rsidP="00B5541D">
      <w:pPr>
        <w:pStyle w:val="Default"/>
        <w:rPr>
          <w:rFonts w:ascii="Georgia" w:hAnsi="Georgia" w:cs="Arial"/>
        </w:rPr>
      </w:pPr>
      <w:r w:rsidRPr="005739E0">
        <w:rPr>
          <w:rFonts w:ascii="Georgia" w:hAnsi="Georgia" w:cs="Arial"/>
        </w:rPr>
        <w:t xml:space="preserve"> The Centers for Disease Control and Prevention would receive $25 million in authority annually for grants and cooperative agreements with public or non-profit entities for the collection, analysis, and reporting of data on osteoporosis and related bone diseases. </w:t>
      </w:r>
    </w:p>
    <w:p w:rsidR="005739E0" w:rsidRDefault="005739E0" w:rsidP="00B5541D">
      <w:pPr>
        <w:pStyle w:val="Default"/>
        <w:rPr>
          <w:rFonts w:ascii="Georgia" w:hAnsi="Georgia" w:cs="Arial"/>
        </w:rPr>
      </w:pPr>
    </w:p>
    <w:p w:rsidR="00B5541D" w:rsidRPr="005739E0" w:rsidRDefault="00B5541D" w:rsidP="00B5541D">
      <w:pPr>
        <w:pStyle w:val="Default"/>
        <w:rPr>
          <w:rFonts w:ascii="Georgia" w:hAnsi="Georgia" w:cs="Arial"/>
        </w:rPr>
      </w:pPr>
      <w:r w:rsidRPr="005739E0">
        <w:rPr>
          <w:rFonts w:ascii="Georgia" w:hAnsi="Georgia" w:cs="Arial"/>
        </w:rPr>
        <w:t xml:space="preserve">The Secretary of Health and Human Services would be required to establish an </w:t>
      </w:r>
      <w:r w:rsidRPr="005739E0">
        <w:rPr>
          <w:rFonts w:ascii="Georgia" w:hAnsi="Georgia" w:cs="Arial"/>
          <w:bCs/>
        </w:rPr>
        <w:t>Osteoporosis and Related Bone Disease Advisory Committee</w:t>
      </w:r>
      <w:r w:rsidRPr="005739E0">
        <w:rPr>
          <w:rFonts w:ascii="Georgia" w:hAnsi="Georgia" w:cs="Arial"/>
        </w:rPr>
        <w:t xml:space="preserve"> to advise the CDC and NIH on matters relating to the National Bone Health Program and research on osteoporosis and related bone diseases. </w:t>
      </w:r>
    </w:p>
    <w:p w:rsidR="00B5541D" w:rsidRPr="005739E0" w:rsidRDefault="00B5541D" w:rsidP="00836463">
      <w:pPr>
        <w:spacing w:line="240" w:lineRule="auto"/>
        <w:rPr>
          <w:rFonts w:ascii="Georgia" w:hAnsi="Georgia" w:cs="Arial"/>
          <w:szCs w:val="24"/>
        </w:rPr>
      </w:pPr>
    </w:p>
    <w:p w:rsidR="00B5541D" w:rsidRDefault="00B5541D" w:rsidP="00836463">
      <w:pPr>
        <w:spacing w:line="240" w:lineRule="auto"/>
        <w:rPr>
          <w:rFonts w:cs="DeVinne"/>
        </w:rPr>
      </w:pPr>
    </w:p>
    <w:p w:rsidR="002137AD" w:rsidRDefault="002137AD" w:rsidP="00836463">
      <w:pPr>
        <w:spacing w:line="240" w:lineRule="auto"/>
      </w:pPr>
    </w:p>
    <w:p w:rsidR="002137AD" w:rsidRDefault="002137AD"/>
    <w:p w:rsidR="002137AD" w:rsidRDefault="002137AD"/>
    <w:sectPr w:rsidR="002137AD" w:rsidSect="003F3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DeVinne">
    <w:altName w:val="Cambria"/>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D10D7"/>
    <w:multiLevelType w:val="hybridMultilevel"/>
    <w:tmpl w:val="0D723DCA"/>
    <w:lvl w:ilvl="0" w:tplc="04090001">
      <w:start w:val="1"/>
      <w:numFmt w:val="bullet"/>
      <w:lvlText w:val=""/>
      <w:lvlJc w:val="left"/>
      <w:pPr>
        <w:tabs>
          <w:tab w:val="num" w:pos="720"/>
        </w:tabs>
        <w:ind w:left="720" w:hanging="360"/>
      </w:pPr>
      <w:rPr>
        <w:rFonts w:ascii="Symbol" w:hAnsi="Symbol" w:cs="Symbol" w:hint="default"/>
      </w:rPr>
    </w:lvl>
    <w:lvl w:ilvl="1" w:tplc="FFFFFFFF">
      <w:start w:val="1"/>
      <w:numFmt w:val="lowerLetter"/>
      <w:lvlText w:val="•"/>
      <w:lvlJc w:val="left"/>
      <w:rPr>
        <w:rFont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AD"/>
    <w:rsid w:val="001A1E9D"/>
    <w:rsid w:val="002137AD"/>
    <w:rsid w:val="003F356B"/>
    <w:rsid w:val="004B26C0"/>
    <w:rsid w:val="005739E0"/>
    <w:rsid w:val="00730E05"/>
    <w:rsid w:val="00836463"/>
    <w:rsid w:val="00987219"/>
    <w:rsid w:val="00994BB1"/>
    <w:rsid w:val="00B5541D"/>
    <w:rsid w:val="00E312BB"/>
    <w:rsid w:val="00EC6B6C"/>
    <w:rsid w:val="00F01851"/>
    <w:rsid w:val="00F9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5541D"/>
    <w:pPr>
      <w:widowControl w:val="0"/>
      <w:autoSpaceDE w:val="0"/>
      <w:autoSpaceDN w:val="0"/>
      <w:adjustRightInd w:val="0"/>
      <w:spacing w:after="0" w:line="240" w:lineRule="auto"/>
    </w:pPr>
    <w:rPr>
      <w:rFonts w:ascii="Tahoma" w:eastAsia="Times New Roman" w:hAnsi="Tahoma" w:cs="Tahoma"/>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5541D"/>
    <w:pPr>
      <w:widowControl w:val="0"/>
      <w:autoSpaceDE w:val="0"/>
      <w:autoSpaceDN w:val="0"/>
      <w:adjustRightInd w:val="0"/>
      <w:spacing w:after="0" w:line="240" w:lineRule="auto"/>
    </w:pPr>
    <w:rPr>
      <w:rFonts w:ascii="Tahoma" w:eastAsia="Times New Roman" w:hAnsi="Tahoma" w:cs="Tahoma"/>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Brent Jaquet</dc:creator>
  <cp:keywords/>
  <dc:description/>
  <cp:lastModifiedBy>Elderkin, Ann</cp:lastModifiedBy>
  <cp:revision>2</cp:revision>
  <cp:lastPrinted>2011-05-16T14:09:00Z</cp:lastPrinted>
  <dcterms:created xsi:type="dcterms:W3CDTF">2011-05-16T14:09:00Z</dcterms:created>
  <dcterms:modified xsi:type="dcterms:W3CDTF">2011-05-16T14:09:00Z</dcterms:modified>
</cp:coreProperties>
</file>